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835"/>
        <w:gridCol w:w="4536"/>
        <w:gridCol w:w="3402"/>
      </w:tblGrid>
      <w:tr w:rsidR="00E65676" w:rsidRPr="00CF6E9B" w14:paraId="220083C8" w14:textId="77777777" w:rsidTr="00D27122">
        <w:tc>
          <w:tcPr>
            <w:tcW w:w="2835" w:type="dxa"/>
            <w:shd w:val="clear" w:color="auto" w:fill="BFBFBF" w:themeFill="background1" w:themeFillShade="BF"/>
          </w:tcPr>
          <w:p w14:paraId="53524FC6" w14:textId="77777777" w:rsidR="00E65676" w:rsidRPr="00CF6E9B" w:rsidRDefault="00E65676" w:rsidP="00F02E90">
            <w:pPr>
              <w:jc w:val="both"/>
              <w:rPr>
                <w:b/>
                <w:sz w:val="24"/>
                <w:szCs w:val="24"/>
              </w:rPr>
            </w:pPr>
            <w:r w:rsidRPr="00CF6E9B">
              <w:rPr>
                <w:b/>
                <w:sz w:val="24"/>
                <w:szCs w:val="24"/>
              </w:rPr>
              <w:t>Contrat de bail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7CB2FB5" w14:textId="77777777" w:rsidR="00E65676" w:rsidRPr="00CF6E9B" w:rsidRDefault="00CA4D82" w:rsidP="00F02E90">
            <w:pPr>
              <w:jc w:val="both"/>
              <w:rPr>
                <w:b/>
                <w:sz w:val="24"/>
                <w:szCs w:val="24"/>
              </w:rPr>
            </w:pPr>
            <w:r w:rsidRPr="00CA4D82">
              <w:rPr>
                <w:b/>
                <w:sz w:val="24"/>
                <w:szCs w:val="24"/>
              </w:rPr>
              <w:t>Bail traditionnel (avec TH, ISPC)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8F1DEE2" w14:textId="77777777" w:rsidR="00E65676" w:rsidRPr="00CF6E9B" w:rsidRDefault="00E65676" w:rsidP="00F02E90">
            <w:pPr>
              <w:jc w:val="both"/>
              <w:rPr>
                <w:b/>
                <w:sz w:val="24"/>
                <w:szCs w:val="24"/>
              </w:rPr>
            </w:pPr>
            <w:r w:rsidRPr="00CF6E9B">
              <w:rPr>
                <w:b/>
                <w:sz w:val="24"/>
                <w:szCs w:val="24"/>
              </w:rPr>
              <w:t xml:space="preserve">Habitat</w:t>
            </w:r>
          </w:p>
        </w:tc>
      </w:tr>
    </w:tbl>
    <w:p w14:paraId="08CC56EB" w14:textId="77777777" w:rsidR="00E65676" w:rsidRPr="00CF6E9B" w:rsidRDefault="00E65676" w:rsidP="00F02E90">
      <w:pPr>
        <w:jc w:val="both"/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938"/>
      </w:tblGrid>
      <w:tr w:rsidR="00E65676" w:rsidRPr="00CF6E9B" w14:paraId="6A55D0CB" w14:textId="77777777" w:rsidTr="004F50B9">
        <w:trPr>
          <w:trHeight w:val="152"/>
        </w:trPr>
        <w:tc>
          <w:tcPr>
            <w:tcW w:w="2835" w:type="dxa"/>
            <w:shd w:val="clear" w:color="auto" w:fill="auto"/>
          </w:tcPr>
          <w:p w14:paraId="222F1EE2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Adresse </w:t>
            </w:r>
          </w:p>
        </w:tc>
        <w:tc>
          <w:tcPr>
            <w:tcW w:w="7938" w:type="dxa"/>
            <w:shd w:val="clear" w:color="auto" w:fill="auto"/>
          </w:tcPr>
          <w:p w14:paraId="04C08FB5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La Combe-à-la-Biche 15</w:t>
            </w:r>
          </w:p>
        </w:tc>
      </w:tr>
      <w:tr w:rsidR="00E65676" w:rsidRPr="00CF6E9B" w14:paraId="64615F7E" w14:textId="77777777" w:rsidTr="004F50B9">
        <w:trPr>
          <w:trHeight w:val="152"/>
        </w:trPr>
        <w:tc>
          <w:tcPr>
            <w:tcW w:w="2835" w:type="dxa"/>
            <w:shd w:val="clear" w:color="auto" w:fill="auto"/>
          </w:tcPr>
          <w:p w14:paraId="7937E4DE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Lieu </w:t>
            </w:r>
          </w:p>
        </w:tc>
        <w:tc>
          <w:tcPr>
            <w:tcW w:w="7938" w:type="dxa"/>
            <w:shd w:val="clear" w:color="auto" w:fill="auto"/>
          </w:tcPr>
          <w:p w14:paraId="705412C7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2345 La Chaux-des-Breuleux / JU</w:t>
            </w:r>
          </w:p>
        </w:tc>
      </w:tr>
      <w:tr w:rsidR="00E65676" w:rsidRPr="00CF6E9B" w14:paraId="7F373414" w14:textId="77777777" w:rsidTr="004F50B9">
        <w:tc>
          <w:tcPr>
            <w:tcW w:w="2835" w:type="dxa"/>
            <w:shd w:val="clear" w:color="auto" w:fill="auto"/>
          </w:tcPr>
          <w:p w14:paraId="069940B7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Etage </w:t>
            </w:r>
          </w:p>
        </w:tc>
        <w:tc>
          <w:tcPr>
            <w:tcW w:w="7938" w:type="dxa"/>
            <w:shd w:val="clear" w:color="auto" w:fill="auto"/>
          </w:tcPr>
          <w:p w14:paraId="40545B16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Rez-de-chaussée</w:t>
            </w:r>
          </w:p>
        </w:tc>
      </w:tr>
      <w:tr w:rsidR="00E65676" w:rsidRPr="00CF6E9B" w14:paraId="5A1B89BB" w14:textId="77777777" w:rsidTr="004F50B9">
        <w:tc>
          <w:tcPr>
            <w:tcW w:w="2835" w:type="dxa"/>
            <w:shd w:val="clear" w:color="auto" w:fill="auto"/>
          </w:tcPr>
          <w:p w14:paraId="03D5E259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 xml:space="preserve">Bail principal </w:t>
            </w:r>
          </w:p>
        </w:tc>
        <w:tc>
          <w:tcPr>
            <w:tcW w:w="7938" w:type="dxa"/>
            <w:shd w:val="clear" w:color="auto" w:fill="auto"/>
          </w:tcPr>
          <w:p w14:paraId="3F592635" w14:textId="77777777" w:rsidR="00E65676" w:rsidRPr="00CF6E9B" w:rsidRDefault="009B6539" w:rsidP="00F02E90">
            <w:pPr>
              <w:jc w:val="both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3.0 pièces</w:t>
            </w:r>
          </w:p>
        </w:tc>
      </w:tr>
      <w:tr w:rsidR="00E65676" w:rsidRPr="00CF6E9B" w14:paraId="52FDBF80" w14:textId="77777777" w:rsidTr="004F50B9">
        <w:tc>
          <w:tcPr>
            <w:tcW w:w="2835" w:type="dxa"/>
            <w:shd w:val="clear" w:color="auto" w:fill="auto"/>
          </w:tcPr>
          <w:p w14:paraId="6D7FB9E6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Genre d’objet</w:t>
            </w:r>
          </w:p>
        </w:tc>
        <w:tc>
          <w:tcPr>
            <w:tcW w:w="7938" w:type="dxa"/>
            <w:shd w:val="clear" w:color="auto" w:fill="auto"/>
          </w:tcPr>
          <w:p w14:paraId="580BAD21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Habitat</w:t>
            </w:r>
          </w:p>
        </w:tc>
      </w:tr>
      <w:tr w:rsidR="00E65676" w:rsidRPr="00CF6E9B" w14:paraId="7EC29BFF" w14:textId="77777777" w:rsidTr="004F50B9">
        <w:tc>
          <w:tcPr>
            <w:tcW w:w="2835" w:type="dxa"/>
            <w:shd w:val="clear" w:color="auto" w:fill="auto"/>
          </w:tcPr>
          <w:p w14:paraId="6BA87CA5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Destination utilisation</w:t>
            </w:r>
          </w:p>
        </w:tc>
        <w:tc>
          <w:tcPr>
            <w:tcW w:w="7938" w:type="dxa"/>
            <w:shd w:val="clear" w:color="auto" w:fill="auto"/>
          </w:tcPr>
          <w:p w14:paraId="39C2BC67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Test garantie Swisscaution</w:t>
            </w:r>
          </w:p>
        </w:tc>
      </w:tr>
      <w:tr w:rsidR="00E65676" w:rsidRPr="00CF6E9B" w14:paraId="1ACFE824" w14:textId="77777777" w:rsidTr="004F50B9">
        <w:tc>
          <w:tcPr>
            <w:tcW w:w="2835" w:type="dxa"/>
            <w:shd w:val="clear" w:color="auto" w:fill="auto"/>
          </w:tcPr>
          <w:p w14:paraId="0AE78B03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</w:p>
        </w:tc>
        <w:tc>
          <w:tcPr>
            <w:tcW w:w="7938" w:type="dxa"/>
            <w:shd w:val="clear" w:color="auto" w:fill="auto"/>
          </w:tcPr>
          <w:p w14:paraId="6FCCB1DA" w14:textId="77777777" w:rsidR="00E65676" w:rsidRPr="00CF6E9B" w:rsidRDefault="00E65676" w:rsidP="00F02E90">
            <w:pPr>
              <w:jc w:val="both"/>
              <w:rPr>
                <w:szCs w:val="16"/>
              </w:rPr>
            </w:pPr>
          </w:p>
        </w:tc>
      </w:tr>
      <w:tr w:rsidR="00E65676" w:rsidRPr="00CF6E9B" w14:paraId="6B3B9D5F" w14:textId="77777777" w:rsidTr="004F50B9">
        <w:tc>
          <w:tcPr>
            <w:tcW w:w="2835" w:type="dxa"/>
            <w:shd w:val="clear" w:color="auto" w:fill="auto"/>
          </w:tcPr>
          <w:p w14:paraId="35096EF1" w14:textId="77777777" w:rsidR="00E65676" w:rsidRPr="00CF6E9B" w:rsidRDefault="00E65676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Numéro de référence interne</w:t>
            </w:r>
          </w:p>
        </w:tc>
        <w:tc>
          <w:tcPr>
            <w:tcW w:w="7938" w:type="dxa"/>
            <w:shd w:val="clear" w:color="auto" w:fill="auto"/>
          </w:tcPr>
          <w:p w14:paraId="45F1E06D" w14:textId="77777777" w:rsidR="00E65676" w:rsidRPr="00CF6E9B" w:rsidRDefault="00E569A1" w:rsidP="00F02E90">
            <w:pPr>
              <w:jc w:val="both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11</w:t>
            </w:r>
          </w:p>
        </w:tc>
      </w:tr>
      <w:tr w:rsidR="00E65676" w:rsidRPr="00CF6E9B" w14:paraId="5528CE80" w14:textId="77777777" w:rsidTr="004F50B9">
        <w:tc>
          <w:tcPr>
            <w:tcW w:w="2835" w:type="dxa"/>
            <w:shd w:val="clear" w:color="auto" w:fill="auto"/>
          </w:tcPr>
          <w:p w14:paraId="6911354D" w14:textId="77777777" w:rsidR="00E65676" w:rsidRPr="00CF6E9B" w:rsidRDefault="009B1E8F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Numéro de référence</w:t>
            </w:r>
          </w:p>
        </w:tc>
        <w:tc>
          <w:tcPr>
            <w:tcW w:w="7938" w:type="dxa"/>
            <w:shd w:val="clear" w:color="auto" w:fill="auto"/>
          </w:tcPr>
          <w:p w14:paraId="5436CB79" w14:textId="77777777" w:rsidR="00E65676" w:rsidRPr="00CF6E9B" w:rsidRDefault="00E569A1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1087.01.0001.02</w:t>
            </w:r>
          </w:p>
        </w:tc>
      </w:tr>
      <w:tr w:rsidR="00EE25C7" w:rsidRPr="00CF6E9B" w14:paraId="3B72A6EA" w14:textId="77777777" w:rsidTr="004F50B9">
        <w:tc>
          <w:tcPr>
            <w:tcW w:w="2835" w:type="dxa"/>
            <w:shd w:val="clear" w:color="auto" w:fill="auto"/>
          </w:tcPr>
          <w:p w14:paraId="1986F3C5" w14:textId="77777777" w:rsidR="00EE25C7" w:rsidRPr="00CF6E9B" w:rsidRDefault="00EE25C7" w:rsidP="00F02E90">
            <w:pPr>
              <w:jc w:val="both"/>
              <w:rPr>
                <w:b/>
                <w:szCs w:val="16"/>
              </w:rPr>
            </w:pPr>
            <w:r w:rsidRPr="00CF6E9B">
              <w:rPr>
                <w:b/>
                <w:szCs w:val="16"/>
              </w:rPr>
              <w:t>Numéro EGID / EWID</w:t>
            </w:r>
          </w:p>
        </w:tc>
        <w:tc>
          <w:tcPr>
            <w:tcW w:w="7938" w:type="dxa"/>
            <w:shd w:val="clear" w:color="auto" w:fill="auto"/>
          </w:tcPr>
          <w:p w14:paraId="69429C4A" w14:textId="77777777" w:rsidR="00EE25C7" w:rsidRPr="00CF6E9B" w:rsidRDefault="00EE25C7" w:rsidP="00F02E90">
            <w:pPr>
              <w:jc w:val="both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 / </w:t>
            </w:r>
          </w:p>
        </w:tc>
      </w:tr>
    </w:tbl>
    <w:p w14:paraId="387A254B" w14:textId="77777777" w:rsidR="00E65676" w:rsidRPr="00CF6E9B" w:rsidRDefault="00E65676" w:rsidP="00F02E90">
      <w:pPr>
        <w:jc w:val="both"/>
        <w:rPr>
          <w:szCs w:val="16"/>
          <w:lang w:val="en-US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  <w:gridCol w:w="2551"/>
      </w:tblGrid>
      <w:tr w:rsidR="00ED62F7" w:rsidRPr="00CF6E9B" w14:paraId="06A0738E" w14:textId="77777777" w:rsidTr="003C3598">
        <w:trPr>
          <w:trHeight w:val="152"/>
        </w:trPr>
        <w:tc>
          <w:tcPr>
            <w:tcW w:w="2835" w:type="dxa"/>
            <w:shd w:val="clear" w:color="auto" w:fill="auto"/>
            <w:vAlign w:val="center"/>
          </w:tcPr>
          <w:p w14:paraId="40F57042" w14:textId="77777777" w:rsidR="00ED62F7" w:rsidRPr="00CF6E9B" w:rsidRDefault="00ED62F7" w:rsidP="00F02E90">
            <w:pPr>
              <w:jc w:val="both"/>
              <w:rPr>
                <w:szCs w:val="16"/>
              </w:rPr>
            </w:pPr>
            <w:r w:rsidRPr="00CF6E9B">
              <w:rPr>
                <w:b/>
                <w:bCs/>
                <w:kern w:val="32"/>
                <w:szCs w:val="16"/>
              </w:rPr>
              <w:t>Bailleur</w:t>
            </w:r>
            <w:r w:rsidRPr="00CF6E9B">
              <w:rPr>
                <w:szCs w:val="16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2E06ECB" w14:textId="77777777" w:rsidR="00ED62F7" w:rsidRPr="00CF6E9B" w:rsidRDefault="0084706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Monsieur </w:t>
            </w:r>
            <w:r w:rsidR="00ED62F7" w:rsidRPr="00CF6E9B">
              <w:rPr>
                <w:szCs w:val="16"/>
              </w:rPr>
              <w:t xml:space="preserve">Eric Pahud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071AEB" w14:textId="77777777" w:rsidR="00ED62F7" w:rsidRPr="00CF6E9B" w:rsidRDefault="00ED62F7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  <w:tr w:rsidR="00846642" w:rsidRPr="00CF6E9B" w14:paraId="469A53BD" w14:textId="77777777" w:rsidTr="003C3598">
        <w:tc>
          <w:tcPr>
            <w:tcW w:w="2835" w:type="dxa"/>
            <w:shd w:val="clear" w:color="auto" w:fill="auto"/>
            <w:vAlign w:val="center"/>
          </w:tcPr>
          <w:p w14:paraId="547DBB51" w14:textId="77777777" w:rsidR="00846642" w:rsidRPr="00CF6E9B" w:rsidRDefault="00846642" w:rsidP="00F02E90">
            <w:pPr>
              <w:jc w:val="both"/>
              <w:rPr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14:paraId="7687FD1F" w14:textId="77777777" w:rsidR="00846642" w:rsidRPr="00CF6E9B" w:rsidRDefault="0084706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  <w:r w:rsidR="00846642" w:rsidRPr="00CF6E9B">
              <w:rPr>
                <w:szCs w:val="16"/>
              </w:rPr>
              <w:t xml:space="preserve"/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A068146" w14:textId="77777777" w:rsidR="00846642" w:rsidRPr="00CF6E9B" w:rsidRDefault="00846642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  <w:tr w:rsidR="00846642" w:rsidRPr="00CF6E9B" w14:paraId="52421502" w14:textId="77777777" w:rsidTr="003C3598">
        <w:trPr>
          <w:trHeight w:val="80"/>
        </w:trPr>
        <w:tc>
          <w:tcPr>
            <w:tcW w:w="2835" w:type="dxa"/>
            <w:shd w:val="clear" w:color="auto" w:fill="auto"/>
            <w:vAlign w:val="center"/>
          </w:tcPr>
          <w:p w14:paraId="298B566C" w14:textId="77777777" w:rsidR="00846642" w:rsidRPr="00CF6E9B" w:rsidRDefault="00846642" w:rsidP="00F02E90">
            <w:pPr>
              <w:jc w:val="both"/>
              <w:rPr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14:paraId="617F4220" w14:textId="77777777" w:rsidR="00846642" w:rsidRPr="00CF6E9B" w:rsidRDefault="0084706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  <w:r w:rsidR="00846642" w:rsidRPr="00CF6E9B">
              <w:rPr>
                <w:szCs w:val="16"/>
              </w:rPr>
              <w:t xml:space="preserve"/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A18BE1C" w14:textId="77777777" w:rsidR="00846642" w:rsidRPr="00CF6E9B" w:rsidRDefault="00846642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  <w:tr w:rsidR="00846642" w:rsidRPr="00CF6E9B" w14:paraId="7085DEE7" w14:textId="77777777" w:rsidTr="003C3598">
        <w:tc>
          <w:tcPr>
            <w:tcW w:w="2835" w:type="dxa"/>
            <w:shd w:val="clear" w:color="auto" w:fill="auto"/>
            <w:vAlign w:val="center"/>
          </w:tcPr>
          <w:p w14:paraId="4C2CC997" w14:textId="77777777" w:rsidR="00846642" w:rsidRPr="00CF6E9B" w:rsidRDefault="00846642" w:rsidP="00F02E90">
            <w:pPr>
              <w:jc w:val="both"/>
              <w:rPr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14:paraId="6D3E73DA" w14:textId="77777777" w:rsidR="00846642" w:rsidRPr="00CF6E9B" w:rsidRDefault="0084706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  <w:r w:rsidR="00846642" w:rsidRPr="00CF6E9B">
              <w:rPr>
                <w:szCs w:val="16"/>
              </w:rPr>
              <w:t xml:space="preserve"/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FEF75C6" w14:textId="77777777" w:rsidR="00846642" w:rsidRPr="00CF6E9B" w:rsidRDefault="00846642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</w:tbl>
    <w:p w14:paraId="5AC54A0A" w14:textId="77777777" w:rsidR="00E65676" w:rsidRPr="00CF6E9B" w:rsidRDefault="00E65676" w:rsidP="00F02E90">
      <w:pPr>
        <w:jc w:val="both"/>
        <w:rPr>
          <w:szCs w:val="16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938"/>
      </w:tblGrid>
      <w:tr w:rsidR="00E65676" w:rsidRPr="00CF6E9B" w14:paraId="33E65C02" w14:textId="77777777" w:rsidTr="004F50B9">
        <w:trPr>
          <w:trHeight w:val="152"/>
        </w:trPr>
        <w:tc>
          <w:tcPr>
            <w:tcW w:w="2835" w:type="dxa"/>
            <w:shd w:val="clear" w:color="auto" w:fill="auto"/>
            <w:vAlign w:val="center"/>
          </w:tcPr>
          <w:p w14:paraId="5DB640DD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b/>
                <w:bCs/>
                <w:kern w:val="32"/>
                <w:szCs w:val="16"/>
              </w:rPr>
              <w:t>Représenté/e par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E35952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Test Mélisa</w:t>
            </w:r>
          </w:p>
        </w:tc>
      </w:tr>
      <w:tr w:rsidR="00E65676" w:rsidRPr="00CF6E9B" w14:paraId="74BEB149" w14:textId="77777777" w:rsidTr="004F50B9">
        <w:tc>
          <w:tcPr>
            <w:tcW w:w="2835" w:type="dxa"/>
            <w:shd w:val="clear" w:color="auto" w:fill="auto"/>
            <w:vAlign w:val="center"/>
          </w:tcPr>
          <w:p w14:paraId="27647B90" w14:textId="77777777" w:rsidR="00E65676" w:rsidRPr="00CF6E9B" w:rsidRDefault="00E65676" w:rsidP="00F02E90">
            <w:pPr>
              <w:jc w:val="both"/>
              <w:rPr>
                <w:szCs w:val="16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4E51E0D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En Budron B19</w:t>
            </w:r>
          </w:p>
        </w:tc>
      </w:tr>
      <w:tr w:rsidR="00E65676" w:rsidRPr="00CF6E9B" w14:paraId="4E08C4D6" w14:textId="77777777" w:rsidTr="004F50B9">
        <w:tc>
          <w:tcPr>
            <w:tcW w:w="2835" w:type="dxa"/>
            <w:shd w:val="clear" w:color="auto" w:fill="auto"/>
            <w:vAlign w:val="center"/>
          </w:tcPr>
          <w:p w14:paraId="52A4322F" w14:textId="77777777" w:rsidR="00E65676" w:rsidRPr="00CF6E9B" w:rsidRDefault="00E65676" w:rsidP="00F02E90">
            <w:pPr>
              <w:jc w:val="both"/>
              <w:rPr>
                <w:szCs w:val="16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02607E0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1052 Mont-sur-Lausanne</w:t>
            </w:r>
          </w:p>
        </w:tc>
      </w:tr>
      <w:tr w:rsidR="00E65676" w:rsidRPr="00CF6E9B" w14:paraId="64BF7438" w14:textId="77777777" w:rsidTr="004F50B9">
        <w:tc>
          <w:tcPr>
            <w:tcW w:w="2835" w:type="dxa"/>
            <w:shd w:val="clear" w:color="auto" w:fill="auto"/>
            <w:vAlign w:val="center"/>
          </w:tcPr>
          <w:p w14:paraId="417422E1" w14:textId="77777777" w:rsidR="00E65676" w:rsidRPr="00CF6E9B" w:rsidRDefault="00E65676" w:rsidP="00F02E90">
            <w:pPr>
              <w:jc w:val="both"/>
              <w:rPr>
                <w:szCs w:val="16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F6AF180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</w:tbl>
    <w:p w14:paraId="1FDA7571" w14:textId="77777777" w:rsidR="00E65676" w:rsidRPr="00CF6E9B" w:rsidRDefault="00E65676" w:rsidP="00F02E90">
      <w:pPr>
        <w:jc w:val="both"/>
        <w:rPr>
          <w:szCs w:val="16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2693"/>
        <w:gridCol w:w="2518"/>
      </w:tblGrid>
      <w:tr w:rsidR="004F50B9" w:rsidRPr="00CF6E9B" w14:paraId="7389A4AC" w14:textId="77777777" w:rsidTr="004F50B9">
        <w:trPr>
          <w:trHeight w:val="152"/>
        </w:trPr>
        <w:tc>
          <w:tcPr>
            <w:tcW w:w="10740" w:type="dxa"/>
            <w:gridSpan w:val="4"/>
            <w:shd w:val="clear" w:color="auto" w:fill="BFBFBF" w:themeFill="background1" w:themeFillShade="BF"/>
            <w:vAlign w:val="center"/>
            <w:hideMark/>
          </w:tcPr>
          <w:p w14:paraId="1AD83583" w14:textId="77777777" w:rsidR="004F50B9" w:rsidRPr="00CF6E9B" w:rsidRDefault="004F50B9" w:rsidP="00F02E90">
            <w:pPr>
              <w:jc w:val="both"/>
              <w:rPr>
                <w:sz w:val="20"/>
                <w:szCs w:val="20"/>
              </w:rPr>
            </w:pPr>
            <w:r w:rsidRPr="00CF6E9B">
              <w:rPr>
                <w:b/>
                <w:sz w:val="20"/>
                <w:szCs w:val="20"/>
              </w:rPr>
              <w:t>Locataire(s) (solidairement responsables)</w:t>
            </w:r>
          </w:p>
        </w:tc>
      </w:tr>
      <w:tr w:rsidR="004F50B9" w:rsidRPr="00CF6E9B" w14:paraId="5B24FDDE" w14:textId="77777777" w:rsidTr="004F50B9">
        <w:trPr>
          <w:trHeight w:val="152"/>
        </w:trPr>
        <w:tc>
          <w:tcPr>
            <w:tcW w:w="2835" w:type="dxa"/>
            <w:vAlign w:val="center"/>
            <w:hideMark/>
          </w:tcPr>
          <w:p w14:paraId="027F62A2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694" w:type="dxa"/>
            <w:vAlign w:val="center"/>
            <w:hideMark/>
          </w:tcPr>
          <w:p w14:paraId="6BF795F9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693" w:type="dxa"/>
            <w:vAlign w:val="center"/>
            <w:hideMark/>
          </w:tcPr>
          <w:p w14:paraId="14416959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518" w:type="dxa"/>
            <w:vAlign w:val="center"/>
            <w:hideMark/>
          </w:tcPr>
          <w:p w14:paraId="2C733780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  <w:tr w:rsidR="004F50B9" w:rsidRPr="00CF6E9B" w14:paraId="240FBC53" w14:textId="77777777" w:rsidTr="004F50B9">
        <w:trPr>
          <w:trHeight w:val="152"/>
        </w:trPr>
        <w:tc>
          <w:tcPr>
            <w:tcW w:w="2835" w:type="dxa"/>
            <w:vAlign w:val="center"/>
            <w:hideMark/>
          </w:tcPr>
          <w:p w14:paraId="352C1BB8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Mélisa Fasoletti</w:t>
            </w:r>
          </w:p>
        </w:tc>
        <w:tc>
          <w:tcPr>
            <w:tcW w:w="2694" w:type="dxa"/>
            <w:vAlign w:val="center"/>
            <w:hideMark/>
          </w:tcPr>
          <w:p w14:paraId="78303529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693" w:type="dxa"/>
            <w:vAlign w:val="center"/>
            <w:hideMark/>
          </w:tcPr>
          <w:p w14:paraId="6C74657F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518" w:type="dxa"/>
            <w:vAlign w:val="center"/>
            <w:hideMark/>
          </w:tcPr>
          <w:p w14:paraId="48669FDD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  <w:tr w:rsidR="004F50B9" w:rsidRPr="00CF6E9B" w14:paraId="237BE022" w14:textId="77777777" w:rsidTr="004F50B9">
        <w:tc>
          <w:tcPr>
            <w:tcW w:w="2835" w:type="dxa"/>
            <w:vAlign w:val="center"/>
            <w:hideMark/>
          </w:tcPr>
          <w:p w14:paraId="0AB88A3B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Chemin du Soleil 3</w:t>
            </w:r>
          </w:p>
        </w:tc>
        <w:tc>
          <w:tcPr>
            <w:tcW w:w="2694" w:type="dxa"/>
            <w:vAlign w:val="center"/>
            <w:hideMark/>
          </w:tcPr>
          <w:p w14:paraId="649BB73F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693" w:type="dxa"/>
            <w:vAlign w:val="center"/>
            <w:hideMark/>
          </w:tcPr>
          <w:p w14:paraId="44D1E678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518" w:type="dxa"/>
            <w:vAlign w:val="center"/>
            <w:hideMark/>
          </w:tcPr>
          <w:p w14:paraId="438369BA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  <w:tr w:rsidR="004F50B9" w:rsidRPr="00CF6E9B" w14:paraId="03EBFB10" w14:textId="77777777" w:rsidTr="004F50B9">
        <w:tc>
          <w:tcPr>
            <w:tcW w:w="2835" w:type="dxa"/>
            <w:vAlign w:val="center"/>
            <w:hideMark/>
          </w:tcPr>
          <w:p w14:paraId="625250D7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1670 Ursy</w:t>
            </w:r>
          </w:p>
        </w:tc>
        <w:tc>
          <w:tcPr>
            <w:tcW w:w="2694" w:type="dxa"/>
            <w:vAlign w:val="center"/>
            <w:hideMark/>
          </w:tcPr>
          <w:p w14:paraId="0AF435CE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693" w:type="dxa"/>
            <w:vAlign w:val="center"/>
            <w:hideMark/>
          </w:tcPr>
          <w:p w14:paraId="55C0D050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518" w:type="dxa"/>
            <w:vAlign w:val="center"/>
            <w:hideMark/>
          </w:tcPr>
          <w:p w14:paraId="61047AE8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  <w:tr w:rsidR="004F50B9" w:rsidRPr="00CF6E9B" w14:paraId="21842E1F" w14:textId="77777777" w:rsidTr="004F50B9">
        <w:tc>
          <w:tcPr>
            <w:tcW w:w="2835" w:type="dxa"/>
            <w:vAlign w:val="center"/>
            <w:hideMark/>
          </w:tcPr>
          <w:p w14:paraId="0F0B540E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694" w:type="dxa"/>
            <w:vAlign w:val="center"/>
            <w:hideMark/>
          </w:tcPr>
          <w:p w14:paraId="40A45C40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693" w:type="dxa"/>
            <w:vAlign w:val="center"/>
            <w:hideMark/>
          </w:tcPr>
          <w:p w14:paraId="7C73E1CE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518" w:type="dxa"/>
            <w:vAlign w:val="center"/>
            <w:hideMark/>
          </w:tcPr>
          <w:p w14:paraId="04AAA4E2" w14:textId="77777777" w:rsidR="004F50B9" w:rsidRPr="00CF6E9B" w:rsidRDefault="004F50B9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</w:tbl>
    <w:p w14:paraId="66EA21B1" w14:textId="77777777" w:rsidR="004F50B9" w:rsidRPr="00CF6E9B" w:rsidRDefault="004F50B9" w:rsidP="00F02E90">
      <w:pPr>
        <w:jc w:val="both"/>
        <w:rPr>
          <w:b/>
          <w:bCs/>
          <w:kern w:val="32"/>
          <w:sz w:val="20"/>
          <w:szCs w:val="20"/>
        </w:rPr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2839"/>
        <w:gridCol w:w="7905"/>
      </w:tblGrid>
      <w:tr w:rsidR="00E65676" w:rsidRPr="00CF6E9B" w14:paraId="1C154E9C" w14:textId="77777777" w:rsidTr="004F50B9">
        <w:tc>
          <w:tcPr>
            <w:tcW w:w="10744" w:type="dxa"/>
            <w:gridSpan w:val="2"/>
            <w:shd w:val="clear" w:color="auto" w:fill="BFBFBF" w:themeFill="background1" w:themeFillShade="BF"/>
            <w:vAlign w:val="center"/>
          </w:tcPr>
          <w:p w14:paraId="3F1B799D" w14:textId="77777777" w:rsidR="00E65676" w:rsidRPr="00CF6E9B" w:rsidRDefault="00E65676" w:rsidP="00F02E90">
            <w:pPr>
              <w:ind w:left="720" w:hanging="720"/>
              <w:jc w:val="both"/>
              <w:rPr>
                <w:b/>
                <w:sz w:val="20"/>
                <w:szCs w:val="20"/>
              </w:rPr>
            </w:pPr>
            <w:r w:rsidRPr="00CF6E9B">
              <w:rPr>
                <w:b/>
                <w:sz w:val="20"/>
                <w:szCs w:val="20"/>
              </w:rPr>
              <w:t>Début et durée du contrat</w:t>
            </w:r>
          </w:p>
        </w:tc>
      </w:tr>
      <w:tr w:rsidR="001925EF" w:rsidRPr="00CF6E9B" w14:paraId="1564854F" w14:textId="77777777" w:rsidTr="004F50B9">
        <w:tc>
          <w:tcPr>
            <w:tcW w:w="2839" w:type="dxa"/>
            <w:shd w:val="clear" w:color="auto" w:fill="auto"/>
          </w:tcPr>
          <w:p w14:paraId="78757097" w14:textId="77777777" w:rsidR="001925EF" w:rsidRPr="00CF6E9B" w:rsidRDefault="001925EF" w:rsidP="00F02E90">
            <w:pPr>
              <w:ind w:left="720" w:hanging="720"/>
              <w:jc w:val="both"/>
              <w:rPr>
                <w:szCs w:val="16"/>
              </w:rPr>
            </w:pPr>
          </w:p>
        </w:tc>
        <w:tc>
          <w:tcPr>
            <w:tcW w:w="7905" w:type="dxa"/>
            <w:shd w:val="clear" w:color="auto" w:fill="auto"/>
          </w:tcPr>
          <w:p w14:paraId="4C6D3A5B" w14:textId="77777777" w:rsidR="001925EF" w:rsidRPr="00CF6E9B" w:rsidRDefault="001925EF" w:rsidP="00F02E90">
            <w:pPr>
              <w:ind w:left="720" w:hanging="720"/>
              <w:jc w:val="both"/>
              <w:rPr>
                <w:szCs w:val="16"/>
              </w:rPr>
            </w:pPr>
          </w:p>
        </w:tc>
      </w:tr>
      <w:tr w:rsidR="00E65676" w:rsidRPr="00CF6E9B" w14:paraId="3A319C24" w14:textId="77777777" w:rsidTr="004F50B9">
        <w:tc>
          <w:tcPr>
            <w:tcW w:w="2839" w:type="dxa"/>
            <w:shd w:val="clear" w:color="auto" w:fill="auto"/>
          </w:tcPr>
          <w:p w14:paraId="4C5AEFC8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Commence à midi le</w:t>
            </w:r>
          </w:p>
        </w:tc>
        <w:tc>
          <w:tcPr>
            <w:tcW w:w="7905" w:type="dxa"/>
            <w:shd w:val="clear" w:color="auto" w:fill="auto"/>
          </w:tcPr>
          <w:p w14:paraId="57AD9B74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01.03.2021</w:t>
            </w:r>
          </w:p>
        </w:tc>
      </w:tr>
      <w:tr w:rsidR="00E65676" w:rsidRPr="00CF6E9B" w14:paraId="71DDC8EF" w14:textId="77777777" w:rsidTr="004F50B9">
        <w:tc>
          <w:tcPr>
            <w:tcW w:w="2839" w:type="dxa"/>
            <w:shd w:val="clear" w:color="auto" w:fill="auto"/>
          </w:tcPr>
          <w:p w14:paraId="1C3FD33E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Se termine à midi le</w:t>
            </w:r>
          </w:p>
        </w:tc>
        <w:tc>
          <w:tcPr>
            <w:tcW w:w="7905" w:type="dxa"/>
            <w:shd w:val="clear" w:color="auto" w:fill="auto"/>
          </w:tcPr>
          <w:p w14:paraId="5797B3E9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28.02.2022</w:t>
            </w:r>
          </w:p>
        </w:tc>
      </w:tr>
      <w:tr w:rsidR="00E65676" w:rsidRPr="00CF6E9B" w14:paraId="145DCCF4" w14:textId="77777777" w:rsidTr="004F50B9">
        <w:tc>
          <w:tcPr>
            <w:tcW w:w="10744" w:type="dxa"/>
            <w:gridSpan w:val="2"/>
            <w:shd w:val="clear" w:color="auto" w:fill="auto"/>
          </w:tcPr>
          <w:p w14:paraId="64726A1D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</w:p>
        </w:tc>
      </w:tr>
      <w:tr w:rsidR="00E65676" w:rsidRPr="00CF6E9B" w14:paraId="55D3840E" w14:textId="77777777" w:rsidTr="004F50B9">
        <w:tc>
          <w:tcPr>
            <w:tcW w:w="2839" w:type="dxa"/>
            <w:shd w:val="clear" w:color="auto" w:fill="auto"/>
          </w:tcPr>
          <w:p w14:paraId="6D8C6E20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La reconduction du bail </w:t>
            </w:r>
          </w:p>
        </w:tc>
        <w:tc>
          <w:tcPr>
            <w:tcW w:w="7905" w:type="dxa"/>
            <w:shd w:val="clear" w:color="auto" w:fill="auto"/>
          </w:tcPr>
          <w:p w14:paraId="3F69B863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De mois en mois</w:t>
            </w:r>
          </w:p>
        </w:tc>
      </w:tr>
      <w:tr w:rsidR="00E65676" w:rsidRPr="00CF6E9B" w14:paraId="374A287C" w14:textId="77777777" w:rsidTr="004F50B9">
        <w:tc>
          <w:tcPr>
            <w:tcW w:w="2839" w:type="dxa"/>
            <w:shd w:val="clear" w:color="auto" w:fill="auto"/>
          </w:tcPr>
          <w:p w14:paraId="2E7E01FA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Le préavis de résiliation </w:t>
            </w:r>
          </w:p>
        </w:tc>
        <w:tc>
          <w:tcPr>
            <w:tcW w:w="7905" w:type="dxa"/>
            <w:shd w:val="clear" w:color="auto" w:fill="auto"/>
          </w:tcPr>
          <w:p w14:paraId="331E9515" w14:textId="77777777" w:rsidR="00E65676" w:rsidRPr="00CF6E9B" w:rsidRDefault="00E65676" w:rsidP="00F02E90">
            <w:pPr>
              <w:ind w:left="720" w:hanging="720"/>
              <w:jc w:val="both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3 </w:t>
            </w:r>
            <w:proofErr w:type="spellStart"/>
            <w:r w:rsidRPr="00CF6E9B">
              <w:rPr>
                <w:szCs w:val="16"/>
                <w:lang w:val="en-US"/>
              </w:rPr>
              <w:t>mois</w:t>
            </w:r>
            <w:proofErr w:type="spellEnd"/>
          </w:p>
        </w:tc>
      </w:tr>
    </w:tbl>
    <w:p w14:paraId="21F6E565" w14:textId="77777777" w:rsidR="00E65676" w:rsidRPr="00CF6E9B" w:rsidRDefault="00E65676" w:rsidP="00F02E90">
      <w:pPr>
        <w:jc w:val="both"/>
        <w:rPr>
          <w:b/>
          <w:bCs/>
          <w:kern w:val="32"/>
          <w:sz w:val="20"/>
          <w:szCs w:val="20"/>
        </w:rPr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2834"/>
        <w:gridCol w:w="4508"/>
        <w:gridCol w:w="1417"/>
        <w:gridCol w:w="1985"/>
      </w:tblGrid>
      <w:tr w:rsidR="00E65676" w:rsidRPr="00CF6E9B" w14:paraId="3C76047E" w14:textId="77777777" w:rsidTr="0095065A">
        <w:tc>
          <w:tcPr>
            <w:tcW w:w="7342" w:type="dxa"/>
            <w:gridSpan w:val="2"/>
            <w:shd w:val="clear" w:color="auto" w:fill="BFBFBF" w:themeFill="background1" w:themeFillShade="BF"/>
          </w:tcPr>
          <w:p w14:paraId="17CB23A5" w14:textId="77777777" w:rsidR="00E65676" w:rsidRPr="00CF6E9B" w:rsidRDefault="00E65676" w:rsidP="00F02E90">
            <w:pPr>
              <w:tabs>
                <w:tab w:val="left" w:pos="945"/>
              </w:tabs>
              <w:jc w:val="both"/>
              <w:rPr>
                <w:b/>
                <w:sz w:val="20"/>
                <w:szCs w:val="20"/>
              </w:rPr>
            </w:pPr>
            <w:r w:rsidRPr="00CF6E9B">
              <w:rPr>
                <w:b/>
                <w:sz w:val="20"/>
                <w:szCs w:val="20"/>
              </w:rPr>
              <w:t>Loyer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7231D26" w14:textId="77777777" w:rsidR="00E65676" w:rsidRPr="00CF6E9B" w:rsidRDefault="00E65676" w:rsidP="0023079A">
            <w:pPr>
              <w:jc w:val="right"/>
              <w:rPr>
                <w:szCs w:val="16"/>
              </w:rPr>
            </w:pPr>
            <w:r w:rsidRPr="00CF6E9B">
              <w:rPr>
                <w:szCs w:val="16"/>
              </w:rPr>
              <w:t>Loyer annuel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9221B16" w14:textId="77777777" w:rsidR="00E65676" w:rsidRPr="00CF6E9B" w:rsidRDefault="00E65676" w:rsidP="0023079A">
            <w:pPr>
              <w:jc w:val="right"/>
              <w:rPr>
                <w:szCs w:val="16"/>
              </w:rPr>
            </w:pPr>
            <w:r w:rsidRPr="00CF6E9B">
              <w:rPr>
                <w:szCs w:val="16"/>
              </w:rPr>
              <w:t>Loyer mensuel</w:t>
            </w:r>
          </w:p>
        </w:tc>
      </w:tr>
      <w:tr w:rsidR="00E65676" w:rsidRPr="00CF6E9B" w14:paraId="3F9A7C43" w14:textId="77777777" w:rsidTr="0095065A">
        <w:tc>
          <w:tcPr>
            <w:tcW w:w="10744" w:type="dxa"/>
            <w:gridSpan w:val="4"/>
            <w:shd w:val="clear" w:color="auto" w:fill="auto"/>
          </w:tcPr>
          <w:p w14:paraId="16972606" w14:textId="77777777" w:rsidR="00E65676" w:rsidRPr="00CF6E9B" w:rsidRDefault="00E65676" w:rsidP="00F02E90">
            <w:pPr>
              <w:jc w:val="both"/>
              <w:rPr>
                <w:szCs w:val="18"/>
              </w:rPr>
            </w:pPr>
          </w:p>
        </w:tc>
      </w:tr>
      <w:tr w:rsidR="00E65676" w:rsidRPr="00CF6E9B" w14:paraId="54DEE154" w14:textId="77777777" w:rsidTr="0095065A">
        <w:tc>
          <w:tcPr>
            <w:tcW w:w="7342" w:type="dxa"/>
            <w:gridSpan w:val="2"/>
            <w:shd w:val="clear" w:color="auto" w:fill="auto"/>
          </w:tcPr>
          <w:p w14:paraId="249DE624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Total loyer net</w:t>
            </w:r>
          </w:p>
        </w:tc>
        <w:tc>
          <w:tcPr>
            <w:tcW w:w="1417" w:type="dxa"/>
            <w:shd w:val="clear" w:color="auto" w:fill="auto"/>
          </w:tcPr>
          <w:p w14:paraId="5892B7B6" w14:textId="77777777" w:rsidR="00E65676" w:rsidRPr="00CF6E9B" w:rsidRDefault="00B1373B" w:rsidP="003C330F">
            <w:pPr>
              <w:jc w:val="right"/>
              <w:rPr>
                <w:szCs w:val="16"/>
              </w:rPr>
            </w:pPr>
            <w:r w:rsidRPr="00CF6E9B">
              <w:rPr>
                <w:szCs w:val="16"/>
              </w:rPr>
              <w:t xml:space="preserve">12'000.00</w:t>
            </w:r>
          </w:p>
        </w:tc>
        <w:tc>
          <w:tcPr>
            <w:tcW w:w="1985" w:type="dxa"/>
            <w:shd w:val="clear" w:color="auto" w:fill="auto"/>
          </w:tcPr>
          <w:p w14:paraId="0F9EA9A5" w14:textId="77777777" w:rsidR="00E65676" w:rsidRPr="00CF6E9B" w:rsidRDefault="00B1373B" w:rsidP="003C330F">
            <w:pPr>
              <w:jc w:val="right"/>
              <w:rPr>
                <w:szCs w:val="16"/>
              </w:rPr>
            </w:pPr>
            <w:r w:rsidRPr="00CF6E9B">
              <w:rPr>
                <w:szCs w:val="16"/>
              </w:rPr>
              <w:t xml:space="preserve">1'000.00</w:t>
            </w:r>
          </w:p>
        </w:tc>
      </w:tr>
      <w:tr w:rsidR="00660936" w:rsidRPr="00CF6E9B" w14:paraId="42CE8F7C" w14:textId="77777777" w:rsidTr="0095065A">
        <w:tc>
          <w:tcPr>
            <w:tcW w:w="7342" w:type="dxa"/>
            <w:gridSpan w:val="2"/>
            <w:shd w:val="clear" w:color="auto" w:fill="auto"/>
          </w:tcPr>
          <w:p w14:paraId="05772AD0" w14:textId="77777777" w:rsidR="00660936" w:rsidRPr="00CF6E9B" w:rsidRDefault="0066093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1417" w:type="dxa"/>
            <w:shd w:val="clear" w:color="auto" w:fill="auto"/>
          </w:tcPr>
          <w:p w14:paraId="47B21221" w14:textId="77777777" w:rsidR="00660936" w:rsidRPr="00CF6E9B" w:rsidRDefault="00660936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/>
            </w:r>
          </w:p>
        </w:tc>
        <w:tc>
          <w:tcPr>
            <w:tcW w:w="1985" w:type="dxa"/>
            <w:shd w:val="clear" w:color="auto" w:fill="auto"/>
          </w:tcPr>
          <w:p w14:paraId="156E480B" w14:textId="77777777" w:rsidR="00660936" w:rsidRPr="00CF6E9B" w:rsidRDefault="00660936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/>
            </w:r>
          </w:p>
        </w:tc>
      </w:tr>
      <w:tr w:rsidR="00E65676" w:rsidRPr="00CF6E9B" w14:paraId="798F8D87" w14:textId="77777777" w:rsidTr="0095065A">
        <w:tc>
          <w:tcPr>
            <w:tcW w:w="2834" w:type="dxa"/>
            <w:shd w:val="clear" w:color="auto" w:fill="auto"/>
          </w:tcPr>
          <w:p w14:paraId="09635873" w14:textId="77777777" w:rsidR="00E65676" w:rsidRPr="00CF6E9B" w:rsidRDefault="00E65676" w:rsidP="009D51C4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Acompte</w:t>
            </w:r>
          </w:p>
        </w:tc>
        <w:tc>
          <w:tcPr>
            <w:tcW w:w="4508" w:type="dxa"/>
            <w:shd w:val="clear" w:color="auto" w:fill="auto"/>
          </w:tcPr>
          <w:p w14:paraId="4344E36F" w14:textId="77777777" w:rsidR="00E65676" w:rsidRPr="00CF6E9B" w:rsidRDefault="00305D27" w:rsidP="009D51C4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F</w:t>
            </w:r>
            <w:r w:rsidR="00E65676" w:rsidRPr="00CF6E9B">
              <w:rPr>
                <w:szCs w:val="16"/>
              </w:rPr>
              <w:t xml:space="preserve">rais de chauffage, eau chaude </w:t>
            </w:r>
            <w:r w:rsidR="009D51C4" w:rsidRPr="00CF6E9B">
              <w:rPr>
                <w:szCs w:val="16"/>
              </w:rPr>
              <w:t xml:space="preserve"/>
            </w:r>
          </w:p>
        </w:tc>
        <w:tc>
          <w:tcPr>
            <w:tcW w:w="1417" w:type="dxa"/>
            <w:shd w:val="clear" w:color="auto" w:fill="auto"/>
          </w:tcPr>
          <w:p w14:paraId="44D5E0E1" w14:textId="77777777" w:rsidR="00E65676" w:rsidRPr="00CF6E9B" w:rsidRDefault="00B1373B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1'200.00</w:t>
            </w:r>
          </w:p>
        </w:tc>
        <w:tc>
          <w:tcPr>
            <w:tcW w:w="1985" w:type="dxa"/>
            <w:shd w:val="clear" w:color="auto" w:fill="auto"/>
          </w:tcPr>
          <w:p w14:paraId="5C21037C" w14:textId="77777777" w:rsidR="00E65676" w:rsidRPr="00CF6E9B" w:rsidRDefault="00B1373B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100.00</w:t>
            </w:r>
          </w:p>
        </w:tc>
      </w:tr>
      <w:tr w:rsidR="00E65676" w:rsidRPr="00CF6E9B" w14:paraId="4996501D" w14:textId="77777777" w:rsidTr="0095065A">
        <w:tc>
          <w:tcPr>
            <w:tcW w:w="2834" w:type="dxa"/>
            <w:shd w:val="clear" w:color="auto" w:fill="auto"/>
          </w:tcPr>
          <w:p w14:paraId="133559F3" w14:textId="77777777" w:rsidR="00E65676" w:rsidRPr="00CF6E9B" w:rsidRDefault="00E65676" w:rsidP="009D51C4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Aucun(e)</w:t>
            </w:r>
          </w:p>
        </w:tc>
        <w:tc>
          <w:tcPr>
            <w:tcW w:w="4508" w:type="dxa"/>
            <w:shd w:val="clear" w:color="auto" w:fill="auto"/>
          </w:tcPr>
          <w:p w14:paraId="00C873F5" w14:textId="77777777" w:rsidR="00E65676" w:rsidRPr="00CF6E9B" w:rsidRDefault="00305D27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F</w:t>
            </w:r>
            <w:r w:rsidR="00E65676" w:rsidRPr="00CF6E9B">
              <w:rPr>
                <w:szCs w:val="16"/>
              </w:rPr>
              <w:t>rais d'exploitation et clauses particulières</w:t>
            </w:r>
            <w:r w:rsidR="009D51C4" w:rsidRPr="00CF6E9B">
              <w:rPr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51525B8" w14:textId="77777777" w:rsidR="00E65676" w:rsidRPr="00CF6E9B" w:rsidRDefault="00E65676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0.00</w:t>
            </w:r>
          </w:p>
        </w:tc>
        <w:tc>
          <w:tcPr>
            <w:tcW w:w="1985" w:type="dxa"/>
            <w:shd w:val="clear" w:color="auto" w:fill="auto"/>
          </w:tcPr>
          <w:p w14:paraId="3754C1A9" w14:textId="77777777" w:rsidR="00E65676" w:rsidRPr="00CF6E9B" w:rsidRDefault="00E65676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0.00</w:t>
            </w:r>
          </w:p>
        </w:tc>
      </w:tr>
      <w:tr w:rsidR="00E65676" w:rsidRPr="00CF6E9B" w14:paraId="3CD5D706" w14:textId="77777777" w:rsidTr="0095065A">
        <w:tc>
          <w:tcPr>
            <w:tcW w:w="2834" w:type="dxa"/>
            <w:shd w:val="clear" w:color="auto" w:fill="auto"/>
          </w:tcPr>
          <w:p w14:paraId="268C5748" w14:textId="77777777" w:rsidR="00E65676" w:rsidRPr="00CF6E9B" w:rsidRDefault="00E65676" w:rsidP="009D51C4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Acompte</w:t>
            </w:r>
          </w:p>
        </w:tc>
        <w:tc>
          <w:tcPr>
            <w:tcW w:w="4508" w:type="dxa"/>
            <w:shd w:val="clear" w:color="auto" w:fill="auto"/>
          </w:tcPr>
          <w:p w14:paraId="70FD2A76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Frais taxe d’épuration</w:t>
            </w:r>
            <w:r w:rsidR="00574A5F" w:rsidRPr="00CF6E9B">
              <w:rPr>
                <w:szCs w:val="16"/>
              </w:rPr>
              <w:t xml:space="preserve"> et d’eau</w:t>
            </w:r>
            <w:r w:rsidR="009D51C4" w:rsidRPr="00CF6E9B">
              <w:rPr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B52F1BF" w14:textId="77777777" w:rsidR="00E65676" w:rsidRPr="00CF6E9B" w:rsidRDefault="00E65676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120.00</w:t>
            </w:r>
          </w:p>
        </w:tc>
        <w:tc>
          <w:tcPr>
            <w:tcW w:w="1985" w:type="dxa"/>
            <w:shd w:val="clear" w:color="auto" w:fill="auto"/>
          </w:tcPr>
          <w:p w14:paraId="7810F00B" w14:textId="77777777" w:rsidR="00E65676" w:rsidRPr="00CF6E9B" w:rsidRDefault="00E65676" w:rsidP="003C330F">
            <w:pPr>
              <w:jc w:val="right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10.00</w:t>
            </w:r>
          </w:p>
        </w:tc>
      </w:tr>
      <w:tr w:rsidR="00E65676" w:rsidRPr="00CF6E9B" w14:paraId="4B7E548A" w14:textId="77777777" w:rsidTr="0095065A">
        <w:tc>
          <w:tcPr>
            <w:tcW w:w="7342" w:type="dxa"/>
            <w:gridSpan w:val="2"/>
            <w:shd w:val="clear" w:color="auto" w:fill="auto"/>
          </w:tcPr>
          <w:p w14:paraId="72A6D2EC" w14:textId="77777777" w:rsidR="00E65676" w:rsidRPr="00CF6E9B" w:rsidRDefault="00E65676" w:rsidP="00F02E90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4F6AE76" w14:textId="77777777" w:rsidR="00E65676" w:rsidRPr="00CF6E9B" w:rsidRDefault="00E65676" w:rsidP="003C330F">
            <w:pPr>
              <w:jc w:val="right"/>
              <w:rPr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068F88C3" w14:textId="77777777" w:rsidR="00E65676" w:rsidRPr="00CF6E9B" w:rsidRDefault="00E65676" w:rsidP="003C330F">
            <w:pPr>
              <w:jc w:val="right"/>
              <w:rPr>
                <w:szCs w:val="16"/>
                <w:lang w:val="en-US"/>
              </w:rPr>
            </w:pPr>
          </w:p>
        </w:tc>
      </w:tr>
      <w:tr w:rsidR="00E65676" w:rsidRPr="00CF6E9B" w14:paraId="74E641EE" w14:textId="77777777" w:rsidTr="0095065A">
        <w:tc>
          <w:tcPr>
            <w:tcW w:w="7342" w:type="dxa"/>
            <w:gridSpan w:val="2"/>
            <w:shd w:val="clear" w:color="auto" w:fill="auto"/>
          </w:tcPr>
          <w:p w14:paraId="487E18B6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Total loyer brut</w:t>
            </w:r>
          </w:p>
        </w:tc>
        <w:tc>
          <w:tcPr>
            <w:tcW w:w="1417" w:type="dxa"/>
            <w:shd w:val="clear" w:color="auto" w:fill="auto"/>
          </w:tcPr>
          <w:p w14:paraId="2886CB25" w14:textId="77777777" w:rsidR="00E65676" w:rsidRPr="00CF6E9B" w:rsidRDefault="00E65676" w:rsidP="003C330F">
            <w:pPr>
              <w:jc w:val="right"/>
              <w:rPr>
                <w:szCs w:val="16"/>
              </w:rPr>
            </w:pPr>
            <w:r w:rsidRPr="00CF6E9B">
              <w:rPr>
                <w:szCs w:val="16"/>
              </w:rPr>
              <w:t xml:space="preserve">13'320.00</w:t>
            </w:r>
          </w:p>
        </w:tc>
        <w:tc>
          <w:tcPr>
            <w:tcW w:w="1985" w:type="dxa"/>
            <w:shd w:val="clear" w:color="auto" w:fill="auto"/>
          </w:tcPr>
          <w:p w14:paraId="562C19CA" w14:textId="77777777" w:rsidR="00E65676" w:rsidRPr="00CF6E9B" w:rsidRDefault="00E65676" w:rsidP="003C330F">
            <w:pPr>
              <w:jc w:val="right"/>
              <w:rPr>
                <w:szCs w:val="16"/>
              </w:rPr>
            </w:pPr>
            <w:r w:rsidRPr="00CF6E9B">
              <w:rPr>
                <w:szCs w:val="16"/>
              </w:rPr>
              <w:t xml:space="preserve">1'110.00</w:t>
            </w:r>
          </w:p>
        </w:tc>
      </w:tr>
      <w:tr w:rsidR="00E65676" w:rsidRPr="00CF6E9B" w14:paraId="7AFE54B1" w14:textId="77777777" w:rsidTr="0095065A">
        <w:tc>
          <w:tcPr>
            <w:tcW w:w="10744" w:type="dxa"/>
            <w:gridSpan w:val="4"/>
            <w:shd w:val="clear" w:color="auto" w:fill="auto"/>
          </w:tcPr>
          <w:p w14:paraId="407C48B6" w14:textId="77777777" w:rsidR="00E65676" w:rsidRPr="00CF6E9B" w:rsidRDefault="00E65676" w:rsidP="00F02E90">
            <w:pPr>
              <w:jc w:val="both"/>
              <w:rPr>
                <w:szCs w:val="16"/>
              </w:rPr>
            </w:pPr>
          </w:p>
        </w:tc>
      </w:tr>
      <w:tr w:rsidR="00E65676" w:rsidRPr="00CF6E9B" w14:paraId="60F84DDB" w14:textId="77777777" w:rsidTr="0095065A">
        <w:tc>
          <w:tcPr>
            <w:tcW w:w="2834" w:type="dxa"/>
            <w:shd w:val="clear" w:color="auto" w:fill="auto"/>
          </w:tcPr>
          <w:p w14:paraId="0A03FDB2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Fréquence des payements de loyer</w:t>
            </w:r>
          </w:p>
        </w:tc>
        <w:tc>
          <w:tcPr>
            <w:tcW w:w="7910" w:type="dxa"/>
            <w:gridSpan w:val="3"/>
            <w:shd w:val="clear" w:color="auto" w:fill="auto"/>
          </w:tcPr>
          <w:p w14:paraId="56283EA6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Tous les mois</w:t>
            </w:r>
          </w:p>
        </w:tc>
      </w:tr>
      <w:tr w:rsidR="00E65676" w:rsidRPr="00CF6E9B" w14:paraId="232FB96E" w14:textId="77777777" w:rsidTr="0095065A">
        <w:tc>
          <w:tcPr>
            <w:tcW w:w="2834" w:type="dxa"/>
            <w:shd w:val="clear" w:color="auto" w:fill="auto"/>
          </w:tcPr>
          <w:p w14:paraId="30CFA573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Le loyer est dû</w:t>
            </w:r>
          </w:p>
        </w:tc>
        <w:tc>
          <w:tcPr>
            <w:tcW w:w="7910" w:type="dxa"/>
            <w:gridSpan w:val="3"/>
            <w:shd w:val="clear" w:color="auto" w:fill="auto"/>
          </w:tcPr>
          <w:p w14:paraId="290AECEB" w14:textId="77777777" w:rsidR="00E65676" w:rsidRPr="00CF6E9B" w:rsidRDefault="00E65676" w:rsidP="00F02E90">
            <w:pPr>
              <w:jc w:val="both"/>
              <w:rPr>
                <w:szCs w:val="16"/>
                <w:lang w:val="en-US"/>
              </w:rPr>
            </w:pPr>
            <w:r w:rsidRPr="00CF6E9B">
              <w:rPr>
                <w:szCs w:val="16"/>
                <w:lang w:val="en-US"/>
              </w:rPr>
              <w:t xml:space="preserve">Au début de la période</w:t>
            </w:r>
          </w:p>
        </w:tc>
      </w:tr>
      <w:tr w:rsidR="00E65676" w:rsidRPr="00CF6E9B" w14:paraId="11D0583E" w14:textId="77777777" w:rsidTr="0095065A">
        <w:tc>
          <w:tcPr>
            <w:tcW w:w="10744" w:type="dxa"/>
            <w:gridSpan w:val="4"/>
            <w:shd w:val="clear" w:color="auto" w:fill="auto"/>
          </w:tcPr>
          <w:p w14:paraId="78E9846E" w14:textId="77777777" w:rsidR="00E65676" w:rsidRPr="00CF6E9B" w:rsidRDefault="00E65676" w:rsidP="00F02E90">
            <w:pPr>
              <w:jc w:val="both"/>
              <w:rPr>
                <w:szCs w:val="16"/>
                <w:lang w:val="en-US"/>
              </w:rPr>
            </w:pPr>
          </w:p>
          <w:p w14:paraId="318A5723" w14:textId="77777777" w:rsidR="00E65676" w:rsidRPr="00CF6E9B" w:rsidRDefault="00E65676" w:rsidP="00F02E90">
            <w:pPr>
              <w:jc w:val="both"/>
              <w:rPr>
                <w:i/>
                <w:szCs w:val="16"/>
              </w:rPr>
            </w:pPr>
            <w:r w:rsidRPr="00CF6E9B">
              <w:rPr>
                <w:i/>
                <w:szCs w:val="16"/>
              </w:rPr>
              <w:t>Le locataire a payé dans le délai lorsque le bailleur peut disposer de l’argent à son gré au jour de l’échéance.</w:t>
            </w:r>
          </w:p>
          <w:p w14:paraId="233DB834" w14:textId="77777777" w:rsidR="00E65676" w:rsidRPr="00CF6E9B" w:rsidRDefault="00E65676" w:rsidP="00F02E90">
            <w:pPr>
              <w:jc w:val="both"/>
              <w:rPr>
                <w:i/>
                <w:szCs w:val="16"/>
              </w:rPr>
            </w:pPr>
            <w:r w:rsidRPr="00CF6E9B">
              <w:rPr>
                <w:i/>
                <w:szCs w:val="16"/>
              </w:rPr>
              <w:t xml:space="preserve">En cas de retard dans le paiement, le bailleur est en droit de facturer au locataire un intérêt moratoire de 5% (à compter de la date d’échéance) ainsi que des frais de sommation d’au moins 20 CHF et autres frais y relatifs. </w:t>
            </w:r>
          </w:p>
        </w:tc>
      </w:tr>
    </w:tbl>
    <w:p w14:paraId="00D60297" w14:textId="77777777" w:rsidR="00E65676" w:rsidRPr="00CF6E9B" w:rsidRDefault="00E65676" w:rsidP="00F02E90">
      <w:pPr>
        <w:jc w:val="both"/>
        <w:rPr>
          <w:szCs w:val="16"/>
        </w:rPr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6066"/>
        <w:gridCol w:w="4678"/>
      </w:tblGrid>
      <w:tr w:rsidR="00133006" w:rsidRPr="00CF6E9B" w14:paraId="5CA63081" w14:textId="77777777" w:rsidTr="00133006">
        <w:tc>
          <w:tcPr>
            <w:tcW w:w="10744" w:type="dxa"/>
            <w:gridSpan w:val="2"/>
            <w:shd w:val="clear" w:color="auto" w:fill="BFBFBF" w:themeFill="background1" w:themeFillShade="BF"/>
          </w:tcPr>
          <w:p w14:paraId="2D2E19F2" w14:textId="77777777" w:rsidR="00133006" w:rsidRPr="00CF6E9B" w:rsidRDefault="004F50B9" w:rsidP="00F02E90">
            <w:pPr>
              <w:jc w:val="both"/>
              <w:rPr>
                <w:b/>
                <w:sz w:val="20"/>
                <w:szCs w:val="20"/>
              </w:rPr>
            </w:pPr>
            <w:r w:rsidRPr="00CF6E9B">
              <w:rPr>
                <w:b/>
                <w:sz w:val="20"/>
                <w:szCs w:val="20"/>
              </w:rPr>
              <w:t>A bien plaire / en commun</w:t>
            </w:r>
          </w:p>
        </w:tc>
      </w:tr>
      <w:tr w:rsidR="00C037A0" w:rsidRPr="00CF6E9B" w14:paraId="1A6BA9B8" w14:textId="77777777" w:rsidTr="00133006">
        <w:tc>
          <w:tcPr>
            <w:tcW w:w="6066" w:type="dxa"/>
            <w:shd w:val="clear" w:color="auto" w:fill="auto"/>
          </w:tcPr>
          <w:p w14:paraId="6E9FB72A" w14:textId="77777777" w:rsidR="00C037A0" w:rsidRPr="00CF6E9B" w:rsidRDefault="00C037A0" w:rsidP="00F02E90">
            <w:pPr>
              <w:jc w:val="both"/>
              <w:rPr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0042B6CE" w14:textId="77777777" w:rsidR="00C037A0" w:rsidRPr="00CF6E9B" w:rsidRDefault="00C037A0" w:rsidP="00F02E90">
            <w:pPr>
              <w:jc w:val="both"/>
              <w:rPr>
                <w:b/>
                <w:szCs w:val="16"/>
              </w:rPr>
            </w:pPr>
          </w:p>
        </w:tc>
      </w:tr>
      <w:tr w:rsidR="00E65676" w:rsidRPr="00CF6E9B" w14:paraId="6DE1CA8A" w14:textId="77777777" w:rsidTr="00133006">
        <w:tc>
          <w:tcPr>
            <w:tcW w:w="6066" w:type="dxa"/>
            <w:shd w:val="clear" w:color="auto" w:fill="auto"/>
          </w:tcPr>
          <w:p w14:paraId="2F5ACA1E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Les annexes suivantes font l’objet d’un contrat tacite de prêt à usage, soit mis à disposition à bien plaire et gratuitement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--</w:t>
            </w:r>
          </w:p>
        </w:tc>
      </w:tr>
      <w:tr w:rsidR="00E65676" w:rsidRPr="00CF6E9B" w14:paraId="1FBC9CA8" w14:textId="77777777" w:rsidTr="00133006">
        <w:tc>
          <w:tcPr>
            <w:tcW w:w="10744" w:type="dxa"/>
            <w:gridSpan w:val="2"/>
            <w:shd w:val="clear" w:color="auto" w:fill="auto"/>
          </w:tcPr>
          <w:p w14:paraId="0A23F00B" w14:textId="77777777" w:rsidR="00E65676" w:rsidRPr="00CF6E9B" w:rsidRDefault="00E65676" w:rsidP="00F02E90">
            <w:pPr>
              <w:jc w:val="both"/>
              <w:rPr>
                <w:szCs w:val="16"/>
              </w:rPr>
            </w:pPr>
          </w:p>
        </w:tc>
      </w:tr>
      <w:tr w:rsidR="00E65676" w:rsidRPr="00CF6E9B" w14:paraId="074DA6E0" w14:textId="77777777" w:rsidTr="00133006">
        <w:tc>
          <w:tcPr>
            <w:tcW w:w="6066" w:type="dxa"/>
            <w:shd w:val="clear" w:color="auto" w:fill="auto"/>
          </w:tcPr>
          <w:p w14:paraId="21D29786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Les locaux et installations ci-après sont utilisables en commun 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--</w:t>
            </w:r>
          </w:p>
        </w:tc>
      </w:tr>
    </w:tbl>
    <w:p w14:paraId="490797F2" w14:textId="77777777" w:rsidR="00160F7A" w:rsidRPr="00CF6E9B" w:rsidRDefault="00160F7A" w:rsidP="00F02E90">
      <w:pPr>
        <w:spacing w:after="160" w:line="259" w:lineRule="auto"/>
        <w:jc w:val="both"/>
        <w:rPr>
          <w:b/>
          <w:bCs/>
          <w:iCs/>
          <w:sz w:val="20"/>
          <w:szCs w:val="20"/>
        </w:rPr>
      </w:pPr>
      <w:r w:rsidRPr="00CF6E9B">
        <w:rPr>
          <w:b/>
          <w:bCs/>
          <w:iCs/>
          <w:sz w:val="20"/>
          <w:szCs w:val="20"/>
        </w:rPr>
        <w:br w:type="page"/>
      </w:r>
    </w:p>
    <w:tbl>
      <w:tblPr>
        <w:tblW w:w="10749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0749"/>
      </w:tblGrid>
      <w:tr w:rsidR="005D0DEE" w:rsidRPr="00CF6E9B" w14:paraId="618BEC9A" w14:textId="77777777" w:rsidTr="00D24498">
        <w:tc>
          <w:tcPr>
            <w:tcW w:w="10749" w:type="dxa"/>
            <w:shd w:val="clear" w:color="auto" w:fill="BFBFBF" w:themeFill="background1" w:themeFillShade="BF"/>
          </w:tcPr>
          <w:p w14:paraId="435CFE13" w14:textId="77777777" w:rsidR="005D0DEE" w:rsidRPr="00CF6E9B" w:rsidRDefault="005D77D9" w:rsidP="00F02E90">
            <w:pPr>
              <w:jc w:val="both"/>
              <w:rPr>
                <w:szCs w:val="16"/>
              </w:rPr>
            </w:pPr>
            <w:r w:rsidRPr="00CF6E9B">
              <w:rPr>
                <w:b/>
                <w:bCs/>
                <w:iCs/>
                <w:sz w:val="20"/>
                <w:szCs w:val="20"/>
              </w:rPr>
              <w:lastRenderedPageBreak/>
              <w:br w:type="page"/>
            </w:r>
            <w:r w:rsidR="005D0DEE" w:rsidRPr="00CF6E9B">
              <w:rPr>
                <w:b/>
                <w:bCs/>
                <w:iCs/>
                <w:sz w:val="20"/>
                <w:szCs w:val="20"/>
              </w:rPr>
              <w:t>Loyer et charges</w:t>
            </w:r>
          </w:p>
        </w:tc>
      </w:tr>
    </w:tbl>
    <w:p/>
    <w:tbl>
      <w:tblPr>
        <w:tblW w:w="10749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3548"/>
        <w:gridCol w:w="7201"/>
      </w:tblGrid>
      <w:tr w:rsidR="005E49EC" w:rsidRPr="00CF6E9B" w14:paraId="29A68A0A" w14:textId="77777777" w:rsidTr="00624BDA">
        <w:tc>
          <w:tcPr>
            <w:tcW w:w="3548" w:type="dxa"/>
            <w:shd w:val="clear" w:color="auto" w:fill="auto"/>
          </w:tcPr>
          <w:p w14:paraId="46921DC4" w14:textId="77777777" w:rsidR="005E49EC" w:rsidRPr="00CF6E9B" w:rsidRDefault="005E49EC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Taux hypothécaire</w:t>
            </w:r>
          </w:p>
        </w:tc>
        <w:tc>
          <w:tcPr>
            <w:tcW w:w="7201" w:type="dxa"/>
            <w:shd w:val="clear" w:color="auto" w:fill="auto"/>
          </w:tcPr>
          <w:p w14:paraId="6E8CC676" w14:textId="77777777" w:rsidR="005E49EC" w:rsidRPr="00CF6E9B" w:rsidRDefault="005E49EC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1.75 %</w:t>
            </w:r>
          </w:p>
        </w:tc>
      </w:tr>
      <w:tr w:rsidR="005E49EC" w:rsidRPr="00CF6E9B" w14:paraId="47893357" w14:textId="77777777" w:rsidTr="00624BDA">
        <w:tc>
          <w:tcPr>
            <w:tcW w:w="3548" w:type="dxa"/>
            <w:shd w:val="clear" w:color="auto" w:fill="auto"/>
          </w:tcPr>
          <w:p w14:paraId="750A6E22" w14:textId="77777777" w:rsidR="005E49EC" w:rsidRPr="00CF6E9B" w:rsidRDefault="005E49EC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Indice suisse des prix à la </w:t>
            </w:r>
            <w:proofErr w:type="gramStart"/>
            <w:r w:rsidRPr="00CF6E9B">
              <w:rPr>
                <w:szCs w:val="16"/>
              </w:rPr>
              <w:t>consommation:</w:t>
            </w:r>
            <w:proofErr w:type="gramEnd"/>
          </w:p>
        </w:tc>
        <w:tc>
          <w:tcPr>
            <w:tcW w:w="7201" w:type="dxa"/>
            <w:shd w:val="clear" w:color="auto" w:fill="auto"/>
          </w:tcPr>
          <w:p w14:paraId="2C2FF9A7" w14:textId="77777777" w:rsidR="005E49EC" w:rsidRPr="00CF6E9B" w:rsidRDefault="005E49EC" w:rsidP="008E61A8">
            <w:pPr>
              <w:rPr>
                <w:szCs w:val="16"/>
              </w:rPr>
            </w:pPr>
            <w:proofErr w:type="gramStart"/>
            <w:r w:rsidRPr="00CF6E9B">
              <w:rPr>
                <w:szCs w:val="16"/>
              </w:rPr>
              <w:t>année</w:t>
            </w:r>
            <w:proofErr w:type="gramEnd"/>
            <w:r w:rsidRPr="00CF6E9B">
              <w:rPr>
                <w:szCs w:val="16"/>
              </w:rPr>
              <w:t xml:space="preserve"> de base 2015 au 03.02.2021 : 99.8 points</w:t>
            </w:r>
          </w:p>
        </w:tc>
      </w:tr>
      <w:tr w:rsidR="005E49EC" w:rsidRPr="00CF6E9B" w14:paraId="38E09AC1" w14:textId="77777777" w:rsidTr="00624BDA">
        <w:tc>
          <w:tcPr>
            <w:tcW w:w="3548" w:type="dxa"/>
            <w:shd w:val="clear" w:color="auto" w:fill="auto"/>
          </w:tcPr>
          <w:p w14:paraId="758368DE" w14:textId="77777777" w:rsidR="005E49EC" w:rsidRPr="00CF6E9B" w:rsidRDefault="005E49EC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Charges d’exploitation arrêtée au</w:t>
            </w:r>
          </w:p>
        </w:tc>
        <w:tc>
          <w:tcPr>
            <w:tcW w:w="7201" w:type="dxa"/>
            <w:shd w:val="clear" w:color="auto" w:fill="auto"/>
          </w:tcPr>
          <w:p w14:paraId="4D5B0BCD" w14:textId="77777777" w:rsidR="005E49EC" w:rsidRPr="00CF6E9B" w:rsidRDefault="005E49EC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 xml:space="preserve">31.12.2020</w:t>
            </w:r>
          </w:p>
        </w:tc>
      </w:tr>
    </w:tbl>
    <w:p w14:paraId="0AC6D2EA" w14:textId="77777777" w:rsidR="005E49EC" w:rsidRPr="00CF6E9B" w:rsidRDefault="005E49EC" w:rsidP="00F02E90">
      <w:pPr>
        <w:jc w:val="both"/>
        <w:rPr>
          <w:color w:val="000000"/>
          <w:szCs w:val="16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E65676" w:rsidRPr="00CF6E9B" w14:paraId="606AC244" w14:textId="77777777" w:rsidTr="00E65676">
        <w:tc>
          <w:tcPr>
            <w:tcW w:w="10744" w:type="dxa"/>
          </w:tcPr>
          <w:p w14:paraId="08960BB7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L’expression</w:t>
            </w:r>
            <w:proofErr w:type="gramStart"/>
            <w:r w:rsidRPr="00CF6E9B">
              <w:rPr>
                <w:szCs w:val="16"/>
              </w:rPr>
              <w:t xml:space="preserve"> «frais</w:t>
            </w:r>
            <w:proofErr w:type="gramEnd"/>
            <w:r w:rsidRPr="00CF6E9B">
              <w:rPr>
                <w:szCs w:val="16"/>
              </w:rPr>
              <w:t xml:space="preserve"> de chauffage et d’eau chaude» désigne le décompte de tous les genres de frais relatifs à la production de chauffage et d’eau chaude mentionnés à l’art. 5 OBLF ainsi que dans les directives cantonales en matière de décompte de chauffage, auquel sont ajoutés les honoraires d’établissement du décompte, fixés à 4% + TVA</w:t>
            </w:r>
            <w:r w:rsidR="00F50116" w:rsidRPr="00CF6E9B">
              <w:rPr>
                <w:szCs w:val="16"/>
              </w:rPr>
              <w:t xml:space="preserve"> ou selon les directives cantonales</w:t>
            </w:r>
            <w:r w:rsidRPr="00CF6E9B">
              <w:rPr>
                <w:szCs w:val="16"/>
              </w:rPr>
              <w:t>.</w:t>
            </w:r>
          </w:p>
        </w:tc>
      </w:tr>
    </w:tbl>
    <w:p w14:paraId="7AAB83A4" w14:textId="77777777" w:rsidR="00605EE1" w:rsidRPr="00CF6E9B" w:rsidRDefault="00605EE1" w:rsidP="00F02E90">
      <w:pPr>
        <w:jc w:val="both"/>
        <w:rPr>
          <w:szCs w:val="16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E65676" w:rsidRPr="00CF6E9B" w14:paraId="36C24679" w14:textId="77777777" w:rsidTr="001D592B">
        <w:tc>
          <w:tcPr>
            <w:tcW w:w="10744" w:type="dxa"/>
            <w:shd w:val="clear" w:color="auto" w:fill="auto"/>
          </w:tcPr>
          <w:p w14:paraId="20E61BB9" w14:textId="77777777" w:rsidR="00E65676" w:rsidRPr="00CF6E9B" w:rsidRDefault="00E65676" w:rsidP="00F02E90">
            <w:pPr>
              <w:jc w:val="both"/>
              <w:rPr>
                <w:szCs w:val="16"/>
              </w:rPr>
            </w:pPr>
            <w:r w:rsidRPr="00CF6E9B">
              <w:rPr>
                <w:szCs w:val="16"/>
              </w:rPr>
              <w:t>La taxe d'épuration</w:t>
            </w:r>
            <w:r w:rsidR="00890476" w:rsidRPr="00CF6E9B">
              <w:rPr>
                <w:szCs w:val="16"/>
              </w:rPr>
              <w:t>, d’eau froide et</w:t>
            </w:r>
            <w:r w:rsidRPr="00CF6E9B">
              <w:rPr>
                <w:szCs w:val="16"/>
              </w:rPr>
              <w:t xml:space="preserve"> des eaux usées, taxe d'enlèvement des ordures est à la charge de la partie locataire </w:t>
            </w:r>
            <w:r w:rsidR="008C4159" w:rsidRPr="00CF6E9B">
              <w:rPr>
                <w:szCs w:val="16"/>
              </w:rPr>
              <w:t>comme mentionné sous le paragraphe « loyer » du présent contrat</w:t>
            </w:r>
            <w:r w:rsidRPr="00CF6E9B">
              <w:rPr>
                <w:szCs w:val="16"/>
              </w:rPr>
              <w:t>.</w:t>
            </w:r>
          </w:p>
        </w:tc>
      </w:tr>
    </w:tbl>
    <w:p w14:paraId="2313CF7A" w14:textId="77777777" w:rsidR="00B7433F" w:rsidRPr="00CF6E9B" w:rsidRDefault="00B7433F" w:rsidP="00F02E90">
      <w:pPr>
        <w:jc w:val="both"/>
        <w:rPr>
          <w:color w:val="000000"/>
          <w:szCs w:val="16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E65676" w:rsidRPr="00CF6E9B" w14:paraId="2D3115B3" w14:textId="77777777" w:rsidTr="00E65676">
        <w:tc>
          <w:tcPr>
            <w:tcW w:w="10744" w:type="dxa"/>
          </w:tcPr>
          <w:p w14:paraId="4A0B43B3" w14:textId="77777777" w:rsidR="00E65676" w:rsidRPr="00CF6E9B" w:rsidRDefault="00E65676" w:rsidP="00F02E90">
            <w:pPr>
              <w:jc w:val="both"/>
              <w:rPr>
                <w:i/>
                <w:szCs w:val="16"/>
              </w:rPr>
            </w:pPr>
            <w:r w:rsidRPr="00CF6E9B">
              <w:rPr>
                <w:i/>
                <w:szCs w:val="16"/>
              </w:rPr>
              <w:t>Dans le cas d’un décompte, si le locataire quitte la chose louée durant la période de calcul, il ne peut pas prétendre à un décompte intermédiaire. Il recevra le décompte au pro rata établi selon les usages habituels de la branche dans les 6 mois (ou selon les directives cantonales) suivant la date de clôture de la période du décompte.</w:t>
            </w:r>
          </w:p>
        </w:tc>
      </w:tr>
    </w:tbl>
    <w:p w14:paraId="3F43EE28" w14:textId="77777777" w:rsidR="005074A8" w:rsidRPr="00CF6E9B" w:rsidRDefault="005074A8" w:rsidP="00F02E90">
      <w:pPr>
        <w:jc w:val="both"/>
        <w:rPr>
          <w:color w:val="000000"/>
          <w:szCs w:val="16"/>
        </w:rPr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4877A8" w:rsidRPr="00CF6E9B" w14:paraId="222F02C3" w14:textId="77777777" w:rsidTr="00624BDA">
        <w:tc>
          <w:tcPr>
            <w:tcW w:w="10744" w:type="dxa"/>
            <w:shd w:val="clear" w:color="auto" w:fill="BFBFBF" w:themeFill="background1" w:themeFillShade="BF"/>
          </w:tcPr>
          <w:p w14:paraId="2C144F32" w14:textId="77777777" w:rsidR="004877A8" w:rsidRPr="00CF6E9B" w:rsidRDefault="004877A8" w:rsidP="00F02E90">
            <w:pPr>
              <w:jc w:val="both"/>
              <w:rPr>
                <w:szCs w:val="20"/>
              </w:rPr>
            </w:pPr>
            <w:r w:rsidRPr="00CF6E9B">
              <w:rPr>
                <w:b/>
                <w:bCs/>
                <w:kern w:val="32"/>
                <w:sz w:val="20"/>
                <w:szCs w:val="20"/>
              </w:rPr>
              <w:t>Dépôt de garantie</w:t>
            </w:r>
          </w:p>
        </w:tc>
      </w:tr>
      <w:tr w:rsidR="004877A8" w:rsidRPr="00CF6E9B" w14:paraId="74B9C450" w14:textId="77777777" w:rsidTr="00624BDA">
        <w:tc>
          <w:tcPr>
            <w:tcW w:w="10744" w:type="dxa"/>
            <w:shd w:val="clear" w:color="auto" w:fill="auto"/>
          </w:tcPr>
          <w:p w14:paraId="0089C544" w14:textId="77777777" w:rsidR="004877A8" w:rsidRPr="00CF6E9B" w:rsidRDefault="004877A8" w:rsidP="00F02E90">
            <w:pPr>
              <w:jc w:val="both"/>
              <w:rPr>
                <w:szCs w:val="20"/>
              </w:rPr>
            </w:pPr>
          </w:p>
          <w:p w14:paraId="40616DB0" w14:textId="77777777" w:rsidR="004877A8" w:rsidRPr="00CF6E9B" w:rsidRDefault="004877A8" w:rsidP="00F02E90">
            <w:pPr>
              <w:jc w:val="both"/>
              <w:rPr>
                <w:i/>
                <w:szCs w:val="20"/>
              </w:rPr>
            </w:pPr>
            <w:r w:rsidRPr="00CF6E9B">
              <w:rPr>
                <w:szCs w:val="20"/>
              </w:rPr>
              <w:t>A titre de garantie le locataire fournit une sûreté selon l’art. 257e CO, de CHF</w:t>
            </w:r>
            <w:r w:rsidRPr="00CF6E9B">
              <w:rPr>
                <w:i/>
                <w:szCs w:val="20"/>
              </w:rPr>
              <w:t xml:space="preserve"> </w:t>
            </w:r>
            <w:r w:rsidRPr="00CF6E9B">
              <w:rPr>
                <w:szCs w:val="20"/>
              </w:rPr>
              <w:t xml:space="preserve">3'000.00</w:t>
            </w:r>
          </w:p>
        </w:tc>
      </w:tr>
      <w:tr w:rsidR="004877A8" w:rsidRPr="00CF6E9B" w14:paraId="3072ED96" w14:textId="77777777" w:rsidTr="00624BDA">
        <w:tc>
          <w:tcPr>
            <w:tcW w:w="10744" w:type="dxa"/>
            <w:shd w:val="clear" w:color="auto" w:fill="auto"/>
          </w:tcPr>
          <w:p w14:paraId="15AD3264" w14:textId="77777777" w:rsidR="004877A8" w:rsidRPr="00CF6E9B" w:rsidRDefault="004877A8" w:rsidP="00F02E90">
            <w:pPr>
              <w:jc w:val="both"/>
              <w:rPr>
                <w:szCs w:val="20"/>
              </w:rPr>
            </w:pPr>
          </w:p>
        </w:tc>
      </w:tr>
      <w:tr w:rsidR="004877A8" w:rsidRPr="00CF6E9B" w14:paraId="6A1DD8C0" w14:textId="77777777" w:rsidTr="00624BDA">
        <w:tc>
          <w:tcPr>
            <w:tcW w:w="10744" w:type="dxa"/>
            <w:shd w:val="clear" w:color="auto" w:fill="auto"/>
          </w:tcPr>
          <w:p w14:paraId="4411635E" w14:textId="77777777" w:rsidR="004877A8" w:rsidRPr="00CF6E9B" w:rsidRDefault="004877A8" w:rsidP="00F02E90">
            <w:pPr>
              <w:jc w:val="both"/>
              <w:rPr>
                <w:szCs w:val="20"/>
              </w:rPr>
            </w:pPr>
            <w:r w:rsidRPr="00CF6E9B">
              <w:rPr>
                <w:szCs w:val="20"/>
              </w:rPr>
              <w:t>Les clés de l’objet en location ne seront remi</w:t>
            </w:r>
            <w:r w:rsidR="00CA4D82">
              <w:rPr>
                <w:szCs w:val="20"/>
              </w:rPr>
              <w:t>ses qu’après que le bailleur ait</w:t>
            </w:r>
            <w:r w:rsidRPr="00CF6E9B">
              <w:rPr>
                <w:szCs w:val="20"/>
              </w:rPr>
              <w:t xml:space="preserve"> reçu la confirmation écrite, de la constitution de la garantie et du paiement du 1</w:t>
            </w:r>
            <w:r w:rsidRPr="00CF6E9B">
              <w:rPr>
                <w:szCs w:val="20"/>
                <w:vertAlign w:val="superscript"/>
              </w:rPr>
              <w:t>er</w:t>
            </w:r>
            <w:r w:rsidRPr="00CF6E9B">
              <w:rPr>
                <w:szCs w:val="20"/>
              </w:rPr>
              <w:t xml:space="preserve"> loyer.</w:t>
            </w:r>
          </w:p>
        </w:tc>
      </w:tr>
    </w:tbl>
    <w:p w14:paraId="16112228" w14:textId="77777777" w:rsidR="003705D9" w:rsidRPr="00CF6E9B" w:rsidRDefault="003705D9" w:rsidP="00F02E90">
      <w:pPr>
        <w:jc w:val="both"/>
        <w:rPr>
          <w:color w:val="000000"/>
          <w:szCs w:val="16"/>
        </w:rPr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02785B" w:rsidRPr="00CF6E9B" w14:paraId="111BE005" w14:textId="77777777" w:rsidTr="00DA34F7">
        <w:tc>
          <w:tcPr>
            <w:tcW w:w="10744" w:type="dxa"/>
            <w:shd w:val="clear" w:color="auto" w:fill="BFBFBF" w:themeFill="background1" w:themeFillShade="BF"/>
          </w:tcPr>
          <w:p w14:paraId="2A581B4B" w14:textId="77777777" w:rsidR="0002785B" w:rsidRPr="00CF6E9B" w:rsidRDefault="0002785B" w:rsidP="00F02E90">
            <w:pPr>
              <w:jc w:val="both"/>
              <w:rPr>
                <w:szCs w:val="20"/>
              </w:rPr>
            </w:pPr>
            <w:r w:rsidRPr="00CF6E9B">
              <w:rPr>
                <w:b/>
                <w:bCs/>
                <w:kern w:val="32"/>
                <w:sz w:val="20"/>
                <w:szCs w:val="20"/>
              </w:rPr>
              <w:t>Droit applicable / for</w:t>
            </w:r>
          </w:p>
        </w:tc>
      </w:tr>
      <w:tr w:rsidR="00E65676" w:rsidRPr="00CF6E9B" w14:paraId="1876899C" w14:textId="77777777" w:rsidTr="00DA34F7">
        <w:tc>
          <w:tcPr>
            <w:tcW w:w="10744" w:type="dxa"/>
          </w:tcPr>
          <w:p w14:paraId="756DD623" w14:textId="77777777" w:rsidR="00C33C94" w:rsidRPr="00CF6E9B" w:rsidRDefault="00C33C94" w:rsidP="00F02E90">
            <w:pPr>
              <w:jc w:val="both"/>
              <w:rPr>
                <w:szCs w:val="20"/>
              </w:rPr>
            </w:pPr>
          </w:p>
          <w:p w14:paraId="11BCF102" w14:textId="77777777" w:rsidR="00C84813" w:rsidRPr="00CF6E9B" w:rsidRDefault="002719CB" w:rsidP="00F02E90">
            <w:pPr>
              <w:jc w:val="both"/>
              <w:rPr>
                <w:szCs w:val="20"/>
              </w:rPr>
            </w:pPr>
            <w:r w:rsidRPr="00CF6E9B">
              <w:rPr>
                <w:szCs w:val="20"/>
              </w:rPr>
              <w:t xml:space="preserve">Sauf convention contractuelle divergente, les dispositions des règles et usage locative du canton, l’OBLF et le code suisse des obligations sont applicables (art. 253 </w:t>
            </w:r>
            <w:proofErr w:type="spellStart"/>
            <w:r w:rsidRPr="00CF6E9B">
              <w:rPr>
                <w:szCs w:val="20"/>
              </w:rPr>
              <w:t>ss</w:t>
            </w:r>
            <w:proofErr w:type="spellEnd"/>
            <w:r w:rsidRPr="00CF6E9B">
              <w:rPr>
                <w:szCs w:val="20"/>
              </w:rPr>
              <w:t>. CO). Le for juridique compétent pour tout litige résultant du présent contrat est le lieu de l’objet loué.</w:t>
            </w:r>
          </w:p>
        </w:tc>
      </w:tr>
    </w:tbl>
    <w:p w14:paraId="1689DBC6" w14:textId="77777777" w:rsidR="00E65676" w:rsidRPr="00CF6E9B" w:rsidRDefault="00E65676" w:rsidP="00F02E90">
      <w:pPr>
        <w:jc w:val="both"/>
        <w:rPr>
          <w:b/>
          <w:bCs/>
          <w:kern w:val="32"/>
          <w:sz w:val="20"/>
          <w:szCs w:val="20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02785B" w:rsidRPr="00CF6E9B" w14:paraId="225B93E3" w14:textId="77777777" w:rsidTr="008A123A">
        <w:tc>
          <w:tcPr>
            <w:tcW w:w="10744" w:type="dxa"/>
            <w:shd w:val="clear" w:color="auto" w:fill="BFBFBF" w:themeFill="background1" w:themeFillShade="BF"/>
          </w:tcPr>
          <w:p w14:paraId="41C0F3F3" w14:textId="77777777" w:rsidR="0002785B" w:rsidRPr="00CF6E9B" w:rsidRDefault="001B5C53" w:rsidP="00F02E90">
            <w:pPr>
              <w:jc w:val="both"/>
              <w:rPr>
                <w:szCs w:val="20"/>
              </w:rPr>
            </w:pPr>
            <w:r w:rsidRPr="00CF6E9B">
              <w:rPr>
                <w:b/>
                <w:bCs/>
                <w:kern w:val="32"/>
                <w:sz w:val="20"/>
                <w:szCs w:val="20"/>
              </w:rPr>
              <w:t>Dispositions complémentaires</w:t>
            </w:r>
          </w:p>
        </w:tc>
      </w:tr>
      <w:tr w:rsidR="00E65676" w:rsidRPr="00CF6E9B" w14:paraId="4C4C625D" w14:textId="77777777" w:rsidTr="008A123A">
        <w:tc>
          <w:tcPr>
            <w:tcW w:w="10744" w:type="dxa"/>
          </w:tcPr>
          <w:p w14:paraId="2E452071" w14:textId="77777777" w:rsidR="00C33C94" w:rsidRPr="00CF6E9B" w:rsidRDefault="00C33C94" w:rsidP="00F02E90">
            <w:pPr>
              <w:jc w:val="both"/>
              <w:rPr>
                <w:szCs w:val="20"/>
              </w:rPr>
            </w:pPr>
          </w:p>
          <w:p w14:paraId="2CFA52A3" w14:textId="77777777" w:rsidR="0002785B" w:rsidRPr="00CF6E9B" w:rsidRDefault="00E65676" w:rsidP="00F02E90">
            <w:pPr>
              <w:jc w:val="both"/>
              <w:rPr>
                <w:szCs w:val="20"/>
              </w:rPr>
            </w:pPr>
            <w:r w:rsidRPr="00CF6E9B">
              <w:rPr>
                <w:szCs w:val="20"/>
              </w:rPr>
              <w:t>La communication entre le bailleur et le locataire se fait sous la forme écrite.</w:t>
            </w:r>
          </w:p>
          <w:p/>
        </w:tc>
      </w:tr>
    </w:tbl>
    <w:p w14:paraId="29665BD5" w14:textId="77777777" w:rsidR="00E65676" w:rsidRPr="00CF6E9B" w:rsidRDefault="00E65676" w:rsidP="00F02E90">
      <w:pPr>
        <w:jc w:val="both"/>
        <w:rPr>
          <w:b/>
          <w:bCs/>
          <w:kern w:val="32"/>
          <w:sz w:val="20"/>
          <w:szCs w:val="20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02785B" w:rsidRPr="00CF6E9B" w14:paraId="168AE0DF" w14:textId="77777777" w:rsidTr="008A123A">
        <w:tc>
          <w:tcPr>
            <w:tcW w:w="10744" w:type="dxa"/>
            <w:shd w:val="clear" w:color="auto" w:fill="BFBFBF" w:themeFill="background1" w:themeFillShade="BF"/>
          </w:tcPr>
          <w:p w14:paraId="56DDD03F" w14:textId="77777777" w:rsidR="0002785B" w:rsidRPr="00CF6E9B" w:rsidRDefault="0002785B" w:rsidP="00F02E90">
            <w:pPr>
              <w:jc w:val="both"/>
              <w:rPr>
                <w:szCs w:val="20"/>
              </w:rPr>
            </w:pPr>
            <w:r w:rsidRPr="00CF6E9B">
              <w:rPr>
                <w:b/>
                <w:bCs/>
                <w:kern w:val="32"/>
                <w:sz w:val="20"/>
                <w:szCs w:val="20"/>
              </w:rPr>
              <w:t>Annexe(s)</w:t>
            </w:r>
          </w:p>
        </w:tc>
      </w:tr>
      <w:tr w:rsidR="00E65676" w:rsidRPr="00CF6E9B" w14:paraId="4F8481DC" w14:textId="77777777" w:rsidTr="008A123A">
        <w:tc>
          <w:tcPr>
            <w:tcW w:w="10744" w:type="dxa"/>
            <w:shd w:val="clear" w:color="auto" w:fill="auto"/>
          </w:tcPr>
          <w:p w14:paraId="68E198A3" w14:textId="77777777" w:rsidR="00C33C94" w:rsidRPr="00CF6E9B" w:rsidRDefault="00C33C94" w:rsidP="00F02E90">
            <w:pPr>
              <w:jc w:val="both"/>
              <w:rPr>
                <w:szCs w:val="20"/>
              </w:rPr>
            </w:pPr>
          </w:p>
          <w:p w14:paraId="31A985F3" w14:textId="77777777" w:rsidR="00E65676" w:rsidRPr="00CF6E9B" w:rsidRDefault="00E65676" w:rsidP="00F02E90">
            <w:pPr>
              <w:jc w:val="both"/>
              <w:rPr>
                <w:szCs w:val="20"/>
              </w:rPr>
            </w:pPr>
            <w:r w:rsidRPr="00CF6E9B">
              <w:rPr>
                <w:szCs w:val="20"/>
              </w:rPr>
              <w:t xml:space="preserve">Font partie intégrante du présent contrat de bail les annexes ci-après, remises au locataire et expressément approuvées par les deux </w:t>
            </w:r>
            <w:proofErr w:type="gramStart"/>
            <w:r w:rsidRPr="00CF6E9B">
              <w:rPr>
                <w:szCs w:val="20"/>
              </w:rPr>
              <w:t>parties:</w:t>
            </w:r>
            <w:proofErr w:type="gramEnd"/>
          </w:p>
        </w:tc>
      </w:tr>
      <w:tr w:rsidR="00E65676" w:rsidRPr="00CF6E9B" w14:paraId="2256DEFA" w14:textId="77777777" w:rsidTr="008A123A">
        <w:tc>
          <w:tcPr>
            <w:tcW w:w="10744" w:type="dxa"/>
            <w:shd w:val="clear" w:color="auto" w:fill="auto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néant</w:t>
            </w:r>
          </w:p>
        </w:tc>
      </w:tr>
    </w:tbl>
    <w:p w14:paraId="79B4D038" w14:textId="77777777" w:rsidR="00E65676" w:rsidRPr="00CF6E9B" w:rsidRDefault="00E65676" w:rsidP="00F02E90">
      <w:pPr>
        <w:jc w:val="both"/>
        <w:rPr>
          <w:b/>
          <w:bCs/>
          <w:kern w:val="32"/>
          <w:sz w:val="20"/>
          <w:szCs w:val="20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0744"/>
      </w:tblGrid>
      <w:tr w:rsidR="0002785B" w:rsidRPr="00CF6E9B" w14:paraId="5901CABB" w14:textId="77777777" w:rsidTr="008A123A">
        <w:tc>
          <w:tcPr>
            <w:tcW w:w="10744" w:type="dxa"/>
            <w:shd w:val="clear" w:color="auto" w:fill="BFBFBF" w:themeFill="background1" w:themeFillShade="BF"/>
          </w:tcPr>
          <w:p w14:paraId="28A4E56A" w14:textId="77777777" w:rsidR="0002785B" w:rsidRPr="00CF6E9B" w:rsidRDefault="0002785B" w:rsidP="00F02E90">
            <w:pPr>
              <w:jc w:val="both"/>
              <w:rPr>
                <w:szCs w:val="20"/>
              </w:rPr>
            </w:pPr>
            <w:r w:rsidRPr="00CF6E9B">
              <w:rPr>
                <w:b/>
                <w:bCs/>
                <w:kern w:val="32"/>
                <w:sz w:val="20"/>
                <w:szCs w:val="20"/>
              </w:rPr>
              <w:t>Signatures</w:t>
            </w:r>
          </w:p>
        </w:tc>
      </w:tr>
      <w:tr w:rsidR="00E65676" w:rsidRPr="00CF6E9B" w14:paraId="6D46A8A8" w14:textId="77777777" w:rsidTr="008A123A">
        <w:tc>
          <w:tcPr>
            <w:tcW w:w="10744" w:type="dxa"/>
          </w:tcPr>
          <w:p w14:paraId="34CB3CC1" w14:textId="77777777" w:rsidR="00C33C94" w:rsidRPr="00CF6E9B" w:rsidRDefault="00C33C94" w:rsidP="00F02E90">
            <w:pPr>
              <w:jc w:val="both"/>
              <w:rPr>
                <w:szCs w:val="20"/>
              </w:rPr>
            </w:pPr>
          </w:p>
          <w:p w14:paraId="73E68343" w14:textId="77777777" w:rsidR="00E65676" w:rsidRPr="00CF6E9B" w:rsidRDefault="00E65676" w:rsidP="00F02E90">
            <w:pPr>
              <w:jc w:val="both"/>
              <w:rPr>
                <w:rFonts w:eastAsia="SimSun"/>
                <w:szCs w:val="20"/>
              </w:rPr>
            </w:pPr>
            <w:r w:rsidRPr="00CF6E9B">
              <w:rPr>
                <w:szCs w:val="20"/>
              </w:rPr>
              <w:t>Par sa signature ci-dessous apposée, le locataire confirme avoir intégralement lu et compris le contrat, y compris les annexes.</w:t>
            </w:r>
          </w:p>
        </w:tc>
      </w:tr>
      <w:tr w:rsidR="00E65676" w:rsidRPr="00CF6E9B" w14:paraId="71690D70" w14:textId="77777777" w:rsidTr="008A123A">
        <w:tc>
          <w:tcPr>
            <w:tcW w:w="10744" w:type="dxa"/>
          </w:tcPr>
          <w:p w14:paraId="4AC13708" w14:textId="77777777" w:rsidR="00E65676" w:rsidRPr="00CF6E9B" w:rsidRDefault="00E65676" w:rsidP="00F02E90">
            <w:pPr>
              <w:jc w:val="both"/>
              <w:rPr>
                <w:szCs w:val="20"/>
              </w:rPr>
            </w:pPr>
          </w:p>
        </w:tc>
      </w:tr>
      <w:tr w:rsidR="00E65676" w:rsidRPr="00CF6E9B" w14:paraId="2B6C14AE" w14:textId="77777777" w:rsidTr="008A123A">
        <w:tc>
          <w:tcPr>
            <w:tcW w:w="10744" w:type="dxa"/>
          </w:tcPr>
          <w:p w14:paraId="6635723A" w14:textId="77777777" w:rsidR="00E65676" w:rsidRPr="00CF6E9B" w:rsidRDefault="00E65676" w:rsidP="00F02E90">
            <w:pPr>
              <w:jc w:val="both"/>
              <w:rPr>
                <w:rFonts w:eastAsia="SimSun"/>
                <w:szCs w:val="20"/>
              </w:rPr>
            </w:pPr>
            <w:r w:rsidRPr="00CF6E9B">
              <w:rPr>
                <w:rFonts w:eastAsia="SimSun"/>
                <w:szCs w:val="20"/>
              </w:rPr>
              <w:t>Plusieurs locataires répondent solidairement des obligations découlant du présent bail.</w:t>
            </w:r>
          </w:p>
        </w:tc>
      </w:tr>
    </w:tbl>
    <w:p w14:paraId="6C62297B" w14:textId="77777777" w:rsidR="00E65676" w:rsidRPr="00CF6E9B" w:rsidRDefault="00E65676" w:rsidP="00F02E90">
      <w:pPr>
        <w:jc w:val="both"/>
        <w:rPr>
          <w:szCs w:val="20"/>
        </w:rPr>
      </w:pPr>
    </w:p>
    <w:tbl>
      <w:tblPr>
        <w:tblW w:w="1074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0746"/>
      </w:tblGrid>
      <w:tr w:rsidR="007D5BB9" w:rsidRPr="00CF6E9B" w14:paraId="450EE233" w14:textId="77777777" w:rsidTr="00C02AE1">
        <w:tc>
          <w:tcPr>
            <w:tcW w:w="10746" w:type="dxa"/>
            <w:shd w:val="clear" w:color="auto" w:fill="auto"/>
          </w:tcPr>
          <w:p w14:paraId="0CDE3E76" w14:textId="77777777" w:rsidR="007D5BB9" w:rsidRPr="00CF6E9B" w:rsidRDefault="007D5BB9" w:rsidP="00F02E90">
            <w:pPr>
              <w:jc w:val="both"/>
              <w:rPr>
                <w:rFonts w:eastAsia="SimSun"/>
                <w:szCs w:val="20"/>
                <w:lang w:val="en-US"/>
              </w:rPr>
            </w:pPr>
            <w:r w:rsidRPr="00CF6E9B">
              <w:rPr>
                <w:rFonts w:eastAsia="SimSun"/>
                <w:szCs w:val="20"/>
                <w:lang w:val="en-US"/>
              </w:rPr>
              <w:t xml:space="preserve">Mont-sur-Lausanne le </w:t>
            </w:r>
            <w:r w:rsidRPr="00CF6E9B">
              <w:rPr>
                <w:lang w:val="en-US"/>
              </w:rPr>
              <w:t xml:space="preserve">03.02.2021</w:t>
            </w:r>
          </w:p>
        </w:tc>
      </w:tr>
    </w:tbl>
    <w:p w14:paraId="6708943E" w14:textId="77777777" w:rsidR="00A904FD" w:rsidRPr="00CF6E9B" w:rsidRDefault="00A904FD" w:rsidP="00F02E90">
      <w:pPr>
        <w:jc w:val="both"/>
        <w:rPr>
          <w:rFonts w:eastAsia="SimSun"/>
          <w:szCs w:val="20"/>
          <w:lang w:val="en-US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  <w:gridCol w:w="2273"/>
      </w:tblGrid>
      <w:tr w:rsidR="00B2023B" w:rsidRPr="00CF6E9B" w14:paraId="56D700EE" w14:textId="77777777" w:rsidTr="00766CFB">
        <w:tc>
          <w:tcPr>
            <w:tcW w:w="2122" w:type="dxa"/>
          </w:tcPr>
          <w:p w14:paraId="4F2C06EF" w14:textId="77777777" w:rsidR="00A904FD" w:rsidRPr="00CF6E9B" w:rsidRDefault="00A904FD" w:rsidP="008E61A8">
            <w:pPr>
              <w:rPr>
                <w:rFonts w:eastAsia="SimSun"/>
                <w:szCs w:val="20"/>
              </w:rPr>
            </w:pPr>
            <w:r w:rsidRPr="00CF6E9B">
              <w:rPr>
                <w:rFonts w:eastAsia="SimSun"/>
                <w:szCs w:val="20"/>
              </w:rPr>
              <w:t>Bailleur</w:t>
            </w:r>
          </w:p>
        </w:tc>
        <w:tc>
          <w:tcPr>
            <w:tcW w:w="2126" w:type="dxa"/>
          </w:tcPr>
          <w:p w14:paraId="6712D4B1" w14:textId="77777777" w:rsidR="00A904FD" w:rsidRPr="00CF6E9B" w:rsidRDefault="00A509BD" w:rsidP="008E61A8">
            <w:pPr>
              <w:rPr>
                <w:rFonts w:eastAsia="SimSun"/>
                <w:szCs w:val="20"/>
              </w:rPr>
            </w:pPr>
            <w:r w:rsidRPr="00CF6E9B">
              <w:rPr>
                <w:szCs w:val="16"/>
              </w:rPr>
              <w:t xml:space="preserve">Mélisa Fasoletti</w:t>
            </w:r>
          </w:p>
        </w:tc>
        <w:tc>
          <w:tcPr>
            <w:tcW w:w="2126" w:type="dxa"/>
          </w:tcPr>
          <w:p w14:paraId="58766A48" w14:textId="77777777" w:rsidR="00A904FD" w:rsidRPr="00CF6E9B" w:rsidRDefault="00A509BD" w:rsidP="008E61A8">
            <w:pPr>
              <w:rPr>
                <w:rFonts w:eastAsia="SimSun"/>
                <w:szCs w:val="20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126" w:type="dxa"/>
          </w:tcPr>
          <w:p w14:paraId="51D84025" w14:textId="77777777" w:rsidR="00A904FD" w:rsidRPr="00CF6E9B" w:rsidRDefault="00A509BD" w:rsidP="008E61A8">
            <w:pPr>
              <w:rPr>
                <w:rFonts w:eastAsia="SimSun"/>
                <w:szCs w:val="20"/>
              </w:rPr>
            </w:pPr>
            <w:r w:rsidRPr="00CF6E9B">
              <w:rPr>
                <w:szCs w:val="16"/>
              </w:rPr>
              <w:t xml:space="preserve"/>
            </w:r>
          </w:p>
        </w:tc>
        <w:tc>
          <w:tcPr>
            <w:tcW w:w="2273" w:type="dxa"/>
          </w:tcPr>
          <w:p w14:paraId="7021AC2C" w14:textId="77777777" w:rsidR="00A904FD" w:rsidRPr="00CF6E9B" w:rsidRDefault="00A509BD" w:rsidP="008E61A8">
            <w:pPr>
              <w:rPr>
                <w:rFonts w:eastAsia="SimSun"/>
                <w:szCs w:val="20"/>
              </w:rPr>
            </w:pPr>
            <w:r w:rsidRPr="00CF6E9B">
              <w:rPr>
                <w:szCs w:val="16"/>
              </w:rPr>
              <w:t xml:space="preserve"/>
            </w:r>
          </w:p>
        </w:tc>
      </w:tr>
    </w:tbl>
    <w:p w14:paraId="114B8880" w14:textId="77777777" w:rsidR="00FD15E4" w:rsidRPr="00CF6E9B" w:rsidRDefault="00FD15E4" w:rsidP="00F02E90">
      <w:pPr>
        <w:jc w:val="both"/>
        <w:rPr>
          <w:rFonts w:eastAsia="SimSun"/>
          <w:szCs w:val="20"/>
        </w:rPr>
      </w:pPr>
    </w:p>
    <w:p w14:paraId="19C04868" w14:textId="77777777" w:rsidR="00C3492D" w:rsidRPr="00CF6E9B" w:rsidRDefault="00C3492D" w:rsidP="00F02E90">
      <w:pPr>
        <w:jc w:val="both"/>
        <w:rPr>
          <w:rFonts w:eastAsia="SimSun"/>
          <w:szCs w:val="20"/>
        </w:rPr>
      </w:pPr>
    </w:p>
    <w:p w14:paraId="00A67036" w14:textId="77777777" w:rsidR="00C3492D" w:rsidRPr="00CF6E9B" w:rsidRDefault="00C3492D" w:rsidP="00F02E90">
      <w:pPr>
        <w:jc w:val="both"/>
        <w:rPr>
          <w:rFonts w:eastAsia="SimSun"/>
          <w:szCs w:val="20"/>
        </w:rPr>
      </w:pPr>
    </w:p>
    <w:p w14:paraId="0C2B8476" w14:textId="77777777" w:rsidR="009262AE" w:rsidRPr="00CF6E9B" w:rsidRDefault="009262AE" w:rsidP="00F02E90">
      <w:pPr>
        <w:jc w:val="both"/>
        <w:rPr>
          <w:rFonts w:eastAsia="SimSun"/>
          <w:szCs w:val="20"/>
        </w:rPr>
      </w:pPr>
    </w:p>
    <w:p w14:paraId="7C856939" w14:textId="77777777" w:rsidR="009262AE" w:rsidRPr="00CF6E9B" w:rsidRDefault="009262AE" w:rsidP="00F02E90">
      <w:pPr>
        <w:jc w:val="both"/>
        <w:rPr>
          <w:rFonts w:eastAsia="SimSun"/>
          <w:szCs w:val="20"/>
        </w:rPr>
      </w:pPr>
    </w:p>
    <w:p w14:paraId="2522AA8E" w14:textId="77777777" w:rsidR="00E65676" w:rsidRPr="00D305F9" w:rsidRDefault="00E65676" w:rsidP="00F02E90">
      <w:pPr>
        <w:jc w:val="both"/>
      </w:pPr>
      <w:r w:rsidRPr="00CF6E9B">
        <w:rPr>
          <w:rFonts w:eastAsia="SimSun"/>
          <w:szCs w:val="20"/>
        </w:rPr>
        <w:t>Ce contrat n’est juridiquement valable qu’après avoir été signé par toutes les parties.</w:t>
      </w:r>
    </w:p>
    <w:p w14:paraId="3DF5C89A" w14:textId="77777777" w:rsidR="00577305" w:rsidRPr="00D305F9" w:rsidRDefault="00577305" w:rsidP="00F02E90">
      <w:pPr>
        <w:jc w:val="both"/>
      </w:pPr>
    </w:p>
    <w:sectPr xmlns:w="http://schemas.openxmlformats.org/wordprocessingml/2006/main" xmlns:r="http://schemas.openxmlformats.org/officeDocument/2006/relationships" w:rsidR="00577305" w:rsidRPr="00D305F9" w:rsidSect="00A43C7C">
      <w:footerReference w:type="default" r:id="rId7"/>
      <w:headerReference w:type="first" r:id="rId8"/>
      <w:footerReference w:type="first" r:id="rId9"/>
      <w:pgSz w:w="11907" w:h="16839" w:code="9"/>
      <w:pgMar w:top="-851" w:right="425" w:bottom="426" w:left="709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4E494" w14:textId="77777777" w:rsidR="00E00CF9" w:rsidRDefault="00E00CF9">
      <w:pPr>
        <w:spacing w:line="240" w:lineRule="auto"/>
      </w:pPr>
      <w:r>
        <w:separator/>
      </w:r>
    </w:p>
  </w:endnote>
  <w:endnote w:type="continuationSeparator" w:id="0">
    <w:p w14:paraId="7ADD9E15" w14:textId="77777777" w:rsidR="00E00CF9" w:rsidRDefault="00E00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626B3" w14:textId="2004071F" w:rsidR="00121B63" w:rsidRPr="00A43C7C" w:rsidRDefault="003A0E7A" w:rsidP="00A02468">
    <w:pPr>
      <w:pStyle w:val="Footer"/>
      <w:tabs>
        <w:tab w:val="clear" w:pos="4320"/>
        <w:tab w:val="clear" w:pos="8640"/>
      </w:tabs>
      <w:rPr>
        <w:sz w:val="16"/>
        <w:szCs w:val="16"/>
      </w:rPr>
    </w:pPr>
    <w:r>
      <w:rPr>
        <w:sz w:val="16"/>
        <w:szCs w:val="16"/>
        <w:lang w:val="de-CH"/>
      </w:rPr>
      <w:t xml:space="preserve">Réf. </w:t>
    </w:r>
    <w:r w:rsidR="00A43C7C">
      <w:rPr>
        <w:sz w:val="16"/>
        <w:szCs w:val="16"/>
        <w:lang w:val="de-CH"/>
      </w:rPr>
      <w:t xml:space="preserve">16 000 856 2</w:t>
    </w:r>
    <w:r w:rsidR="00A43C7C">
      <w:rPr>
        <w:sz w:val="16"/>
        <w:szCs w:val="16"/>
        <w:lang w:val="de-CH"/>
      </w:rPr>
      <w:tab/>
    </w:r>
    <w:r w:rsidR="00A02468">
      <w:rPr>
        <w:sz w:val="16"/>
        <w:szCs w:val="16"/>
        <w:lang w:val="de-CH"/>
      </w:rPr>
      <w:ptab w:relativeTo="margin" w:alignment="right" w:leader="none"/>
    </w:r>
    <w:r w:rsidR="00A43C7C">
      <w:rPr>
        <w:rStyle w:val="PageNumber"/>
        <w:sz w:val="16"/>
        <w:szCs w:val="16"/>
      </w:rPr>
      <w:fldChar w:fldCharType="begin"/>
    </w:r>
    <w:r w:rsidR="00A43C7C">
      <w:rPr>
        <w:rStyle w:val="PageNumber"/>
        <w:sz w:val="16"/>
        <w:szCs w:val="16"/>
      </w:rPr>
      <w:instrText xml:space="preserve"> PAGE </w:instrText>
    </w:r>
    <w:r w:rsidR="00A43C7C">
      <w:rPr>
        <w:rStyle w:val="PageNumber"/>
        <w:sz w:val="16"/>
        <w:szCs w:val="16"/>
      </w:rPr>
      <w:fldChar w:fldCharType="separate"/>
    </w:r>
    <w:r w:rsidR="008E09FC">
      <w:rPr>
        <w:rStyle w:val="PageNumber"/>
        <w:noProof/>
        <w:sz w:val="16"/>
        <w:szCs w:val="16"/>
      </w:rPr>
      <w:t>4</w:t>
    </w:r>
    <w:r w:rsidR="00A43C7C">
      <w:rPr>
        <w:rStyle w:val="PageNumber"/>
        <w:sz w:val="16"/>
        <w:szCs w:val="16"/>
      </w:rPr>
      <w:fldChar w:fldCharType="end"/>
    </w:r>
    <w:r w:rsidR="00A43C7C">
      <w:rPr>
        <w:rStyle w:val="PageNumber"/>
        <w:sz w:val="16"/>
        <w:szCs w:val="16"/>
      </w:rPr>
      <w:t>/</w:t>
    </w:r>
    <w:r w:rsidR="008E09FC">
      <w:rPr>
        <w:bCs/>
        <w:sz w:val="16"/>
        <w:szCs w:val="16"/>
      </w:rPr>
      <w:fldChar w:fldCharType="begin"/>
    </w:r>
    <w:r w:rsidR="008E09FC">
      <w:rPr>
        <w:bCs/>
        <w:sz w:val="16"/>
        <w:szCs w:val="16"/>
      </w:rPr>
      <w:instrText xml:space="preserve"> SECTIONPAGES  </w:instrText>
    </w:r>
    <w:r w:rsidR="008E09FC">
      <w:rPr>
        <w:bCs/>
        <w:sz w:val="16"/>
        <w:szCs w:val="16"/>
      </w:rPr>
      <w:fldChar w:fldCharType="separate"/>
    </w:r>
    <w:r w:rsidR="00A02468">
      <w:rPr>
        <w:bCs/>
        <w:noProof/>
        <w:sz w:val="16"/>
        <w:szCs w:val="16"/>
      </w:rPr>
      <w:t>4</w:t>
    </w:r>
    <w:r w:rsidR="008E09F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A0F59" w14:textId="77777777" w:rsidR="00121B63" w:rsidRPr="00C6155A" w:rsidRDefault="00C84813" w:rsidP="000377F1">
    <w:pPr>
      <w:pStyle w:val="Footer"/>
      <w:tabs>
        <w:tab w:val="left" w:pos="8640"/>
        <w:tab w:val="right" w:pos="9540"/>
      </w:tabs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B1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C68C7" w14:textId="77777777" w:rsidR="00E00CF9" w:rsidRDefault="00E00CF9">
      <w:pPr>
        <w:spacing w:line="240" w:lineRule="auto"/>
      </w:pPr>
      <w:r>
        <w:separator/>
      </w:r>
    </w:p>
  </w:footnote>
  <w:footnote w:type="continuationSeparator" w:id="0">
    <w:p w14:paraId="3835ACA8" w14:textId="77777777" w:rsidR="00E00CF9" w:rsidRDefault="00E00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FC187" w14:textId="77777777" w:rsidR="00121B63" w:rsidRDefault="00E00CF9" w:rsidP="000377F1">
    <w:pPr>
      <w:pStyle w:val="Header"/>
      <w:rPr>
        <w:szCs w:val="18"/>
      </w:rPr>
    </w:pPr>
  </w:p>
  <w:p w14:paraId="16D00261" w14:textId="77777777" w:rsidR="00121B63" w:rsidRDefault="00E00CF9" w:rsidP="000377F1">
    <w:pPr>
      <w:pStyle w:val="Header"/>
      <w:rPr>
        <w:szCs w:val="18"/>
      </w:rPr>
    </w:pPr>
  </w:p>
  <w:p w14:paraId="44F80EC4" w14:textId="77777777" w:rsidR="00121B63" w:rsidRDefault="00E00CF9" w:rsidP="000377F1">
    <w:pPr>
      <w:pStyle w:val="Header"/>
      <w:rPr>
        <w:szCs w:val="18"/>
      </w:rPr>
    </w:pPr>
  </w:p>
  <w:p w14:paraId="7B5B52A3" w14:textId="77777777" w:rsidR="00121B63" w:rsidRDefault="00E00CF9" w:rsidP="000377F1">
    <w:pPr>
      <w:pStyle w:val="Header"/>
      <w:rPr>
        <w:szCs w:val="18"/>
      </w:rPr>
    </w:pPr>
  </w:p>
  <w:p w14:paraId="797E2475" w14:textId="77777777" w:rsidR="00121B63" w:rsidRDefault="00E00CF9" w:rsidP="000377F1">
    <w:pPr>
      <w:pStyle w:val="Header"/>
      <w:rPr>
        <w:szCs w:val="18"/>
      </w:rPr>
    </w:pPr>
  </w:p>
  <w:p w14:paraId="77499669" w14:textId="77777777" w:rsidR="00121B63" w:rsidRDefault="00E00CF9" w:rsidP="000377F1">
    <w:pPr>
      <w:pStyle w:val="Header"/>
      <w:rPr>
        <w:szCs w:val="18"/>
      </w:rPr>
    </w:pPr>
  </w:p>
  <w:p w14:paraId="5D1C285D" w14:textId="77777777" w:rsidR="00121B63" w:rsidRDefault="00E00CF9" w:rsidP="000377F1">
    <w:pPr>
      <w:pStyle w:val="Header"/>
      <w:rPr>
        <w:szCs w:val="18"/>
      </w:rPr>
    </w:pPr>
  </w:p>
  <w:p w14:paraId="1C45591F" w14:textId="77777777" w:rsidR="00121B63" w:rsidRDefault="00E00CF9" w:rsidP="000377F1">
    <w:pPr>
      <w:pStyle w:val="Header"/>
      <w:rPr>
        <w:szCs w:val="18"/>
      </w:rPr>
    </w:pPr>
  </w:p>
  <w:p w14:paraId="2B78ABDE" w14:textId="77777777" w:rsidR="00121B63" w:rsidRDefault="00E00CF9" w:rsidP="000377F1">
    <w:pPr>
      <w:pStyle w:val="Header"/>
      <w:rPr>
        <w:szCs w:val="18"/>
      </w:rPr>
    </w:pPr>
  </w:p>
  <w:p w14:paraId="4F662091" w14:textId="77777777" w:rsidR="00121B63" w:rsidRDefault="00E00CF9" w:rsidP="000377F1">
    <w:pPr>
      <w:pStyle w:val="Header"/>
      <w:rPr>
        <w:szCs w:val="18"/>
      </w:rPr>
    </w:pPr>
  </w:p>
  <w:p w14:paraId="1BFC2801" w14:textId="77777777" w:rsidR="00121B63" w:rsidRDefault="00E00CF9" w:rsidP="000377F1">
    <w:pPr>
      <w:pStyle w:val="Header"/>
      <w:rPr>
        <w:szCs w:val="18"/>
      </w:rPr>
    </w:pPr>
  </w:p>
  <w:p w14:paraId="33977339" w14:textId="77777777" w:rsidR="00121B63" w:rsidRDefault="00E00CF9" w:rsidP="000377F1">
    <w:pPr>
      <w:pStyle w:val="Header"/>
      <w:rPr>
        <w:szCs w:val="18"/>
      </w:rPr>
    </w:pPr>
  </w:p>
  <w:p w14:paraId="542C28C6" w14:textId="77777777" w:rsidR="00121B63" w:rsidRDefault="00E00CF9" w:rsidP="000377F1">
    <w:pPr>
      <w:pStyle w:val="Header"/>
      <w:rPr>
        <w:szCs w:val="18"/>
      </w:rPr>
    </w:pPr>
  </w:p>
  <w:p w14:paraId="3D251051" w14:textId="77777777" w:rsidR="00121B63" w:rsidRDefault="00E00CF9" w:rsidP="000377F1">
    <w:pPr>
      <w:pStyle w:val="Header"/>
      <w:rPr>
        <w:szCs w:val="18"/>
      </w:rPr>
    </w:pPr>
  </w:p>
  <w:p w14:paraId="51EFCBD7" w14:textId="77777777" w:rsidR="00121B63" w:rsidRPr="00176CA9" w:rsidRDefault="00E00CF9" w:rsidP="00037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323">
    <w:multiLevelType w:val="hybridMultilevel"/>
    <w:lvl w:ilvl="0" w:tplc="80945857">
      <w:start w:val="1"/>
      <w:numFmt w:val="decimal"/>
      <w:lvlText w:val="%1."/>
      <w:lvlJc w:val="left"/>
      <w:pPr>
        <w:ind w:left="720" w:hanging="360"/>
      </w:pPr>
    </w:lvl>
    <w:lvl w:ilvl="1" w:tplc="80945857" w:tentative="1">
      <w:start w:val="1"/>
      <w:numFmt w:val="lowerLetter"/>
      <w:lvlText w:val="%2."/>
      <w:lvlJc w:val="left"/>
      <w:pPr>
        <w:ind w:left="1440" w:hanging="360"/>
      </w:pPr>
    </w:lvl>
    <w:lvl w:ilvl="2" w:tplc="80945857" w:tentative="1">
      <w:start w:val="1"/>
      <w:numFmt w:val="lowerRoman"/>
      <w:lvlText w:val="%3."/>
      <w:lvlJc w:val="right"/>
      <w:pPr>
        <w:ind w:left="2160" w:hanging="180"/>
      </w:pPr>
    </w:lvl>
    <w:lvl w:ilvl="3" w:tplc="80945857" w:tentative="1">
      <w:start w:val="1"/>
      <w:numFmt w:val="decimal"/>
      <w:lvlText w:val="%4."/>
      <w:lvlJc w:val="left"/>
      <w:pPr>
        <w:ind w:left="2880" w:hanging="360"/>
      </w:pPr>
    </w:lvl>
    <w:lvl w:ilvl="4" w:tplc="80945857" w:tentative="1">
      <w:start w:val="1"/>
      <w:numFmt w:val="lowerLetter"/>
      <w:lvlText w:val="%5."/>
      <w:lvlJc w:val="left"/>
      <w:pPr>
        <w:ind w:left="3600" w:hanging="360"/>
      </w:pPr>
    </w:lvl>
    <w:lvl w:ilvl="5" w:tplc="80945857" w:tentative="1">
      <w:start w:val="1"/>
      <w:numFmt w:val="lowerRoman"/>
      <w:lvlText w:val="%6."/>
      <w:lvlJc w:val="right"/>
      <w:pPr>
        <w:ind w:left="4320" w:hanging="180"/>
      </w:pPr>
    </w:lvl>
    <w:lvl w:ilvl="6" w:tplc="80945857" w:tentative="1">
      <w:start w:val="1"/>
      <w:numFmt w:val="decimal"/>
      <w:lvlText w:val="%7."/>
      <w:lvlJc w:val="left"/>
      <w:pPr>
        <w:ind w:left="5040" w:hanging="360"/>
      </w:pPr>
    </w:lvl>
    <w:lvl w:ilvl="7" w:tplc="80945857" w:tentative="1">
      <w:start w:val="1"/>
      <w:numFmt w:val="lowerLetter"/>
      <w:lvlText w:val="%8."/>
      <w:lvlJc w:val="left"/>
      <w:pPr>
        <w:ind w:left="5760" w:hanging="360"/>
      </w:pPr>
    </w:lvl>
    <w:lvl w:ilvl="8" w:tplc="809458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2">
    <w:multiLevelType w:val="hybridMultilevel"/>
    <w:lvl w:ilvl="0" w:tplc="17513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2157E47"/>
    <w:multiLevelType w:val="hybridMultilevel"/>
    <w:tmpl w:val="77A6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1A73"/>
    <w:multiLevelType w:val="hybridMultilevel"/>
    <w:tmpl w:val="80E8D576"/>
    <w:lvl w:ilvl="0" w:tplc="0452FF1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D144D"/>
    <w:multiLevelType w:val="multilevel"/>
    <w:tmpl w:val="A17A4E6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7B42EDD"/>
    <w:multiLevelType w:val="hybridMultilevel"/>
    <w:tmpl w:val="FBAA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1322">
    <w:abstractNumId w:val="1322"/>
  </w:num>
  <w:num w:numId="1323">
    <w:abstractNumId w:val="13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76"/>
    <w:rsid w:val="00023707"/>
    <w:rsid w:val="0002785B"/>
    <w:rsid w:val="000373E4"/>
    <w:rsid w:val="000930F2"/>
    <w:rsid w:val="000B7434"/>
    <w:rsid w:val="000C5FDD"/>
    <w:rsid w:val="000E2F17"/>
    <w:rsid w:val="000E3BE4"/>
    <w:rsid w:val="00102B59"/>
    <w:rsid w:val="00111973"/>
    <w:rsid w:val="00132AD1"/>
    <w:rsid w:val="00133006"/>
    <w:rsid w:val="00147AE1"/>
    <w:rsid w:val="001556EC"/>
    <w:rsid w:val="00160F7A"/>
    <w:rsid w:val="0016221D"/>
    <w:rsid w:val="00180B60"/>
    <w:rsid w:val="00186902"/>
    <w:rsid w:val="001925EF"/>
    <w:rsid w:val="001B5C53"/>
    <w:rsid w:val="001D592B"/>
    <w:rsid w:val="001E0E31"/>
    <w:rsid w:val="001E2A97"/>
    <w:rsid w:val="00202D70"/>
    <w:rsid w:val="00204FB3"/>
    <w:rsid w:val="002113C2"/>
    <w:rsid w:val="00222B07"/>
    <w:rsid w:val="0023079A"/>
    <w:rsid w:val="00250C39"/>
    <w:rsid w:val="00255EAF"/>
    <w:rsid w:val="00270DEF"/>
    <w:rsid w:val="002719CB"/>
    <w:rsid w:val="002866A3"/>
    <w:rsid w:val="002C5C10"/>
    <w:rsid w:val="002D5D2D"/>
    <w:rsid w:val="002F12E3"/>
    <w:rsid w:val="00305D27"/>
    <w:rsid w:val="00313D39"/>
    <w:rsid w:val="003461D9"/>
    <w:rsid w:val="0036149C"/>
    <w:rsid w:val="00365F13"/>
    <w:rsid w:val="003705D9"/>
    <w:rsid w:val="0037253F"/>
    <w:rsid w:val="00383A52"/>
    <w:rsid w:val="003A0E7A"/>
    <w:rsid w:val="003A168A"/>
    <w:rsid w:val="003A56D4"/>
    <w:rsid w:val="003B5C01"/>
    <w:rsid w:val="003C330F"/>
    <w:rsid w:val="003C3598"/>
    <w:rsid w:val="003C5FCE"/>
    <w:rsid w:val="003D7DD1"/>
    <w:rsid w:val="003F5E35"/>
    <w:rsid w:val="004050E6"/>
    <w:rsid w:val="00453C0A"/>
    <w:rsid w:val="004564C7"/>
    <w:rsid w:val="0047058E"/>
    <w:rsid w:val="004824AC"/>
    <w:rsid w:val="00485C0E"/>
    <w:rsid w:val="004877A8"/>
    <w:rsid w:val="004B0A5C"/>
    <w:rsid w:val="004B1518"/>
    <w:rsid w:val="004F50B9"/>
    <w:rsid w:val="00501535"/>
    <w:rsid w:val="00503DF1"/>
    <w:rsid w:val="005074A8"/>
    <w:rsid w:val="00541A03"/>
    <w:rsid w:val="00571041"/>
    <w:rsid w:val="00574A5F"/>
    <w:rsid w:val="00577305"/>
    <w:rsid w:val="00591A35"/>
    <w:rsid w:val="005A1641"/>
    <w:rsid w:val="005D0DEE"/>
    <w:rsid w:val="005D2302"/>
    <w:rsid w:val="005D77D9"/>
    <w:rsid w:val="005E49EC"/>
    <w:rsid w:val="005F27AA"/>
    <w:rsid w:val="005F5C35"/>
    <w:rsid w:val="00605261"/>
    <w:rsid w:val="00605EE1"/>
    <w:rsid w:val="00624BD1"/>
    <w:rsid w:val="00646F27"/>
    <w:rsid w:val="00660936"/>
    <w:rsid w:val="00660B7A"/>
    <w:rsid w:val="00675FBB"/>
    <w:rsid w:val="00680980"/>
    <w:rsid w:val="00690BB0"/>
    <w:rsid w:val="006B3CD9"/>
    <w:rsid w:val="006F71DD"/>
    <w:rsid w:val="00701478"/>
    <w:rsid w:val="00701E54"/>
    <w:rsid w:val="00727F33"/>
    <w:rsid w:val="0073496C"/>
    <w:rsid w:val="007405CA"/>
    <w:rsid w:val="00742662"/>
    <w:rsid w:val="00743B34"/>
    <w:rsid w:val="00746ABA"/>
    <w:rsid w:val="00766CFB"/>
    <w:rsid w:val="007918CF"/>
    <w:rsid w:val="00797F92"/>
    <w:rsid w:val="007A6F4A"/>
    <w:rsid w:val="007D0C48"/>
    <w:rsid w:val="007D5BB9"/>
    <w:rsid w:val="00800A73"/>
    <w:rsid w:val="00833E21"/>
    <w:rsid w:val="00846642"/>
    <w:rsid w:val="00847066"/>
    <w:rsid w:val="00851C1E"/>
    <w:rsid w:val="00873CF3"/>
    <w:rsid w:val="00883BFF"/>
    <w:rsid w:val="00885BC9"/>
    <w:rsid w:val="00890476"/>
    <w:rsid w:val="00895C5D"/>
    <w:rsid w:val="008A123A"/>
    <w:rsid w:val="008B51CF"/>
    <w:rsid w:val="008C4159"/>
    <w:rsid w:val="008E09FC"/>
    <w:rsid w:val="008E61A8"/>
    <w:rsid w:val="008F09B4"/>
    <w:rsid w:val="00901ECF"/>
    <w:rsid w:val="00902C08"/>
    <w:rsid w:val="00910EF6"/>
    <w:rsid w:val="00920562"/>
    <w:rsid w:val="00922452"/>
    <w:rsid w:val="009262AE"/>
    <w:rsid w:val="00942DF5"/>
    <w:rsid w:val="0095065A"/>
    <w:rsid w:val="00992E9D"/>
    <w:rsid w:val="009A40CC"/>
    <w:rsid w:val="009B1E8F"/>
    <w:rsid w:val="009B47C4"/>
    <w:rsid w:val="009B6539"/>
    <w:rsid w:val="009C32F6"/>
    <w:rsid w:val="009D0E08"/>
    <w:rsid w:val="009D51C4"/>
    <w:rsid w:val="009F6378"/>
    <w:rsid w:val="00A00E4F"/>
    <w:rsid w:val="00A02468"/>
    <w:rsid w:val="00A06186"/>
    <w:rsid w:val="00A37404"/>
    <w:rsid w:val="00A43C7C"/>
    <w:rsid w:val="00A44CD1"/>
    <w:rsid w:val="00A509BD"/>
    <w:rsid w:val="00A510C1"/>
    <w:rsid w:val="00A5244E"/>
    <w:rsid w:val="00A904FD"/>
    <w:rsid w:val="00AA32FA"/>
    <w:rsid w:val="00AD22EC"/>
    <w:rsid w:val="00AE36A8"/>
    <w:rsid w:val="00B00218"/>
    <w:rsid w:val="00B01A43"/>
    <w:rsid w:val="00B1373B"/>
    <w:rsid w:val="00B2023B"/>
    <w:rsid w:val="00B37779"/>
    <w:rsid w:val="00B71857"/>
    <w:rsid w:val="00B7433F"/>
    <w:rsid w:val="00B74745"/>
    <w:rsid w:val="00B771D9"/>
    <w:rsid w:val="00B83BE4"/>
    <w:rsid w:val="00B86151"/>
    <w:rsid w:val="00BA721D"/>
    <w:rsid w:val="00BC5AA0"/>
    <w:rsid w:val="00BD2129"/>
    <w:rsid w:val="00BE2CC4"/>
    <w:rsid w:val="00C02AE1"/>
    <w:rsid w:val="00C037A0"/>
    <w:rsid w:val="00C33C94"/>
    <w:rsid w:val="00C3492D"/>
    <w:rsid w:val="00C54839"/>
    <w:rsid w:val="00C6012F"/>
    <w:rsid w:val="00C70B2A"/>
    <w:rsid w:val="00C84813"/>
    <w:rsid w:val="00C978DC"/>
    <w:rsid w:val="00CA37F4"/>
    <w:rsid w:val="00CA4D82"/>
    <w:rsid w:val="00CD480C"/>
    <w:rsid w:val="00CF5ADB"/>
    <w:rsid w:val="00CF6E9B"/>
    <w:rsid w:val="00D026B1"/>
    <w:rsid w:val="00D24498"/>
    <w:rsid w:val="00D27122"/>
    <w:rsid w:val="00D305F9"/>
    <w:rsid w:val="00D478DE"/>
    <w:rsid w:val="00D72FEA"/>
    <w:rsid w:val="00D7741A"/>
    <w:rsid w:val="00D971CE"/>
    <w:rsid w:val="00DA34F7"/>
    <w:rsid w:val="00DB38A4"/>
    <w:rsid w:val="00DC6422"/>
    <w:rsid w:val="00DF70E0"/>
    <w:rsid w:val="00E00CF9"/>
    <w:rsid w:val="00E02D4C"/>
    <w:rsid w:val="00E12547"/>
    <w:rsid w:val="00E1270A"/>
    <w:rsid w:val="00E159C5"/>
    <w:rsid w:val="00E20FAD"/>
    <w:rsid w:val="00E265A8"/>
    <w:rsid w:val="00E445E3"/>
    <w:rsid w:val="00E569A1"/>
    <w:rsid w:val="00E65676"/>
    <w:rsid w:val="00E84D99"/>
    <w:rsid w:val="00E96000"/>
    <w:rsid w:val="00EB08CA"/>
    <w:rsid w:val="00EB4B13"/>
    <w:rsid w:val="00ED62F7"/>
    <w:rsid w:val="00ED7664"/>
    <w:rsid w:val="00EE25C7"/>
    <w:rsid w:val="00EE395C"/>
    <w:rsid w:val="00EE3B8C"/>
    <w:rsid w:val="00F02E90"/>
    <w:rsid w:val="00F15524"/>
    <w:rsid w:val="00F233CB"/>
    <w:rsid w:val="00F50116"/>
    <w:rsid w:val="00F505B8"/>
    <w:rsid w:val="00F67C5C"/>
    <w:rsid w:val="00F7783E"/>
    <w:rsid w:val="00F86E1B"/>
    <w:rsid w:val="00FA3051"/>
    <w:rsid w:val="00FB3CF3"/>
    <w:rsid w:val="00FD15E4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8F9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B2A"/>
    <w:pPr>
      <w:spacing w:after="0" w:line="276" w:lineRule="auto"/>
    </w:pPr>
    <w:rPr>
      <w:rFonts w:ascii="Arial" w:hAnsi="Arial"/>
      <w:sz w:val="16"/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676"/>
    <w:pPr>
      <w:keepNext/>
      <w:numPr>
        <w:numId w:val="1"/>
      </w:numPr>
      <w:shd w:val="clear" w:color="auto" w:fill="E6E6E6"/>
      <w:spacing w:before="240" w:after="120" w:line="240" w:lineRule="auto"/>
      <w:ind w:left="431" w:hanging="431"/>
      <w:outlineLvl w:val="0"/>
    </w:pPr>
    <w:rPr>
      <w:rFonts w:eastAsia="Times New Roman" w:cs="Arial"/>
      <w:b/>
      <w:bCs/>
      <w:kern w:val="32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676"/>
    <w:pPr>
      <w:keepNext/>
      <w:numPr>
        <w:ilvl w:val="1"/>
        <w:numId w:val="1"/>
      </w:numPr>
      <w:shd w:val="clear" w:color="auto" w:fill="E6E6E6"/>
      <w:spacing w:before="120" w:after="120" w:line="240" w:lineRule="auto"/>
      <w:ind w:left="578" w:hanging="578"/>
      <w:outlineLvl w:val="1"/>
    </w:pPr>
    <w:rPr>
      <w:rFonts w:eastAsia="Times New Roman" w:cs="Arial"/>
      <w:b/>
      <w:bCs/>
      <w:i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567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eastAsia="Times New Roman" w:cs="Arial"/>
      <w:b/>
      <w:bCs/>
      <w:sz w:val="20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567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65676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6567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65676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65676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65676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76"/>
    <w:rPr>
      <w:rFonts w:ascii="Arial" w:eastAsia="Times New Roman" w:hAnsi="Arial" w:cs="Arial"/>
      <w:b/>
      <w:bCs/>
      <w:kern w:val="32"/>
      <w:sz w:val="20"/>
      <w:szCs w:val="2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9"/>
    <w:rsid w:val="00E65676"/>
    <w:rPr>
      <w:rFonts w:ascii="Arial" w:eastAsia="Times New Roman" w:hAnsi="Arial" w:cs="Arial"/>
      <w:b/>
      <w:bCs/>
      <w:iCs/>
      <w:sz w:val="20"/>
      <w:szCs w:val="2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E65676"/>
    <w:rPr>
      <w:rFonts w:ascii="Arial" w:eastAsia="Times New Roman" w:hAnsi="Arial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656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65676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6567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E6567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6567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65676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E65676"/>
    <w:pPr>
      <w:tabs>
        <w:tab w:val="center" w:pos="4320"/>
        <w:tab w:val="right" w:pos="8640"/>
      </w:tabs>
      <w:spacing w:line="240" w:lineRule="auto"/>
    </w:pPr>
    <w:rPr>
      <w:rFonts w:eastAsia="Times New Roman" w:cs="Times New Roman"/>
      <w:sz w:val="20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6567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E65676"/>
    <w:pPr>
      <w:tabs>
        <w:tab w:val="center" w:pos="4320"/>
        <w:tab w:val="right" w:pos="8640"/>
      </w:tabs>
      <w:spacing w:line="240" w:lineRule="auto"/>
    </w:pPr>
    <w:rPr>
      <w:rFonts w:eastAsia="Times New Roman" w:cs="Times New Roman"/>
      <w:sz w:val="20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65676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E65676"/>
    <w:rPr>
      <w:rFonts w:cs="Times New Roman"/>
    </w:rPr>
  </w:style>
  <w:style w:type="table" w:styleId="TableGrid">
    <w:name w:val="Table Grid"/>
    <w:basedOn w:val="TableNormal"/>
    <w:uiPriority w:val="59"/>
    <w:rsid w:val="00E65676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676"/>
    <w:pPr>
      <w:spacing w:line="240" w:lineRule="atLeast"/>
      <w:ind w:left="720"/>
      <w:contextualSpacing/>
    </w:pPr>
    <w:rPr>
      <w:rFonts w:eastAsia="Times New Roman" w:cs="Arial"/>
      <w:sz w:val="20"/>
      <w:szCs w:val="20"/>
      <w:lang w:eastAsia="de-D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326821860" Type="http://schemas.openxmlformats.org/officeDocument/2006/relationships/comments" Target="comments.xml"/><Relationship Id="rId952889934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2015-08-21T16:13:00Z</dcterms:created>
  <dcterms:modified xsi:type="dcterms:W3CDTF">2020-10-02T16:03:00Z</dcterms:modified>
</cp:coreProperties>
</file>